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1D265">
      <w:pPr>
        <w:spacing w:line="360" w:lineRule="auto"/>
        <w:jc w:val="center"/>
        <w:rPr>
          <w:rFonts w:hint="default" w:ascii="Times New Roman" w:hAnsi="Times New Roman" w:eastAsia="宋体" w:cs="Times New Roman"/>
          <w:b/>
          <w:kern w:val="22"/>
          <w:sz w:val="52"/>
          <w:szCs w:val="52"/>
        </w:rPr>
      </w:pPr>
      <w:r>
        <w:rPr>
          <w:rFonts w:hint="default" w:ascii="Times New Roman" w:hAnsi="Times New Roman" w:eastAsia="宋体" w:cs="Times New Roman"/>
          <w:b/>
          <w:kern w:val="22"/>
          <w:sz w:val="52"/>
          <w:szCs w:val="52"/>
        </w:rPr>
        <w:t>山西省地方标准</w:t>
      </w:r>
    </w:p>
    <w:p w14:paraId="4552B54E">
      <w:pPr>
        <w:spacing w:line="360" w:lineRule="auto"/>
        <w:jc w:val="center"/>
        <w:rPr>
          <w:rFonts w:hint="default" w:ascii="Times New Roman" w:hAnsi="Times New Roman" w:eastAsia="宋体" w:cs="Times New Roman"/>
          <w:b/>
          <w:kern w:val="22"/>
          <w:sz w:val="52"/>
          <w:szCs w:val="52"/>
        </w:rPr>
      </w:pPr>
      <w:bookmarkStart w:id="0" w:name="_Toc171719622"/>
      <w:r>
        <w:rPr>
          <w:rFonts w:hint="default" w:ascii="Times New Roman" w:hAnsi="Times New Roman" w:eastAsia="宋体" w:cs="Times New Roman"/>
          <w:b/>
          <w:sz w:val="52"/>
          <w:szCs w:val="52"/>
        </w:rPr>
        <w:t>《</w:t>
      </w:r>
      <w:r>
        <w:rPr>
          <w:rFonts w:hint="eastAsia" w:eastAsia="宋体" w:cs="Times New Roman"/>
          <w:b/>
          <w:spacing w:val="-6"/>
          <w:kern w:val="0"/>
          <w:sz w:val="52"/>
          <w:szCs w:val="52"/>
          <w:lang w:eastAsia="zh-CN"/>
        </w:rPr>
        <w:t>远志主要病虫害绿色防控技术规程</w:t>
      </w:r>
      <w:r>
        <w:rPr>
          <w:rFonts w:hint="default" w:ascii="Times New Roman" w:hAnsi="Times New Roman" w:eastAsia="宋体" w:cs="Times New Roman"/>
          <w:b/>
          <w:sz w:val="52"/>
          <w:szCs w:val="52"/>
        </w:rPr>
        <w:t>》</w:t>
      </w:r>
    </w:p>
    <w:p w14:paraId="22490E19">
      <w:pPr>
        <w:spacing w:line="360" w:lineRule="auto"/>
        <w:jc w:val="center"/>
        <w:rPr>
          <w:rFonts w:hint="default" w:ascii="Times New Roman" w:hAnsi="Times New Roman" w:eastAsia="宋体" w:cs="Times New Roman"/>
          <w:b/>
          <w:spacing w:val="20"/>
          <w:kern w:val="22"/>
          <w:sz w:val="44"/>
          <w:szCs w:val="44"/>
        </w:rPr>
      </w:pPr>
      <w:r>
        <w:rPr>
          <w:rFonts w:hint="default" w:ascii="Times New Roman" w:hAnsi="Times New Roman" w:eastAsia="宋体" w:cs="Times New Roman"/>
          <w:b/>
          <w:spacing w:val="20"/>
          <w:kern w:val="22"/>
          <w:sz w:val="44"/>
          <w:szCs w:val="44"/>
        </w:rPr>
        <w:t>编制说明</w:t>
      </w:r>
      <w:bookmarkEnd w:id="0"/>
    </w:p>
    <w:p w14:paraId="1DCBAE21">
      <w:pPr>
        <w:spacing w:line="560" w:lineRule="exact"/>
        <w:jc w:val="center"/>
        <w:rPr>
          <w:rFonts w:hint="default" w:ascii="Times New Roman" w:hAnsi="Times New Roman" w:eastAsia="宋体" w:cs="Times New Roman"/>
          <w:b/>
          <w:sz w:val="48"/>
          <w:szCs w:val="48"/>
        </w:rPr>
      </w:pPr>
    </w:p>
    <w:p w14:paraId="1D1D1299">
      <w:pPr>
        <w:spacing w:line="560" w:lineRule="exact"/>
        <w:jc w:val="center"/>
        <w:rPr>
          <w:rFonts w:hint="default" w:ascii="Times New Roman" w:hAnsi="Times New Roman" w:eastAsia="宋体" w:cs="Times New Roman"/>
          <w:b/>
          <w:sz w:val="48"/>
          <w:szCs w:val="48"/>
        </w:rPr>
      </w:pPr>
    </w:p>
    <w:p w14:paraId="34365F39">
      <w:pPr>
        <w:spacing w:line="560" w:lineRule="exact"/>
        <w:jc w:val="center"/>
        <w:rPr>
          <w:rFonts w:hint="default" w:ascii="Times New Roman" w:hAnsi="Times New Roman" w:eastAsia="宋体" w:cs="Times New Roman"/>
          <w:sz w:val="44"/>
          <w:szCs w:val="44"/>
        </w:rPr>
      </w:pPr>
    </w:p>
    <w:p w14:paraId="1B0FF20B">
      <w:pPr>
        <w:spacing w:line="560" w:lineRule="exact"/>
        <w:jc w:val="center"/>
        <w:rPr>
          <w:rFonts w:hint="default" w:ascii="Times New Roman" w:hAnsi="Times New Roman" w:eastAsia="宋体" w:cs="Times New Roman"/>
          <w:b/>
          <w:sz w:val="44"/>
          <w:szCs w:val="44"/>
        </w:rPr>
      </w:pPr>
    </w:p>
    <w:p w14:paraId="1066DA28">
      <w:pPr>
        <w:spacing w:line="560" w:lineRule="exact"/>
        <w:jc w:val="center"/>
        <w:rPr>
          <w:rFonts w:hint="default" w:ascii="Times New Roman" w:hAnsi="Times New Roman" w:eastAsia="宋体" w:cs="Times New Roman"/>
          <w:b/>
          <w:sz w:val="32"/>
          <w:szCs w:val="32"/>
        </w:rPr>
      </w:pPr>
    </w:p>
    <w:p w14:paraId="70DEEBFB">
      <w:pPr>
        <w:spacing w:line="560" w:lineRule="exact"/>
        <w:jc w:val="center"/>
        <w:rPr>
          <w:rFonts w:hint="default" w:ascii="Times New Roman" w:hAnsi="Times New Roman" w:eastAsia="宋体" w:cs="Times New Roman"/>
          <w:b/>
          <w:sz w:val="32"/>
          <w:szCs w:val="32"/>
        </w:rPr>
      </w:pPr>
    </w:p>
    <w:p w14:paraId="3B79CDEE">
      <w:pPr>
        <w:spacing w:line="560" w:lineRule="exact"/>
        <w:jc w:val="center"/>
        <w:rPr>
          <w:rFonts w:hint="default" w:ascii="Times New Roman" w:hAnsi="Times New Roman" w:eastAsia="宋体" w:cs="Times New Roman"/>
          <w:b/>
          <w:sz w:val="32"/>
          <w:szCs w:val="32"/>
        </w:rPr>
      </w:pPr>
    </w:p>
    <w:p w14:paraId="26B8DDD0">
      <w:pPr>
        <w:spacing w:line="560" w:lineRule="exact"/>
        <w:rPr>
          <w:rFonts w:hint="default" w:ascii="Times New Roman" w:hAnsi="Times New Roman" w:eastAsia="宋体" w:cs="Times New Roman"/>
          <w:b/>
          <w:sz w:val="32"/>
          <w:szCs w:val="32"/>
        </w:rPr>
      </w:pPr>
    </w:p>
    <w:p w14:paraId="35B831C7">
      <w:pPr>
        <w:spacing w:line="560" w:lineRule="exact"/>
        <w:rPr>
          <w:rFonts w:hint="default" w:ascii="Times New Roman" w:hAnsi="Times New Roman" w:eastAsia="宋体" w:cs="Times New Roman"/>
          <w:b/>
          <w:sz w:val="32"/>
          <w:szCs w:val="32"/>
        </w:rPr>
      </w:pPr>
    </w:p>
    <w:p w14:paraId="3417A7D9">
      <w:pPr>
        <w:spacing w:line="560" w:lineRule="exact"/>
        <w:rPr>
          <w:rFonts w:hint="default" w:ascii="Times New Roman" w:hAnsi="Times New Roman" w:eastAsia="宋体" w:cs="Times New Roman"/>
          <w:b/>
          <w:sz w:val="32"/>
          <w:szCs w:val="32"/>
        </w:rPr>
      </w:pPr>
    </w:p>
    <w:p w14:paraId="426A5884">
      <w:pPr>
        <w:pStyle w:val="3"/>
        <w:rPr>
          <w:rFonts w:hint="default" w:ascii="Times New Roman" w:hAnsi="Times New Roman" w:eastAsia="宋体" w:cs="Times New Roman"/>
        </w:rPr>
      </w:pPr>
    </w:p>
    <w:p w14:paraId="21739DAE">
      <w:pPr>
        <w:spacing w:line="560" w:lineRule="exact"/>
        <w:rPr>
          <w:rFonts w:hint="default" w:ascii="Times New Roman" w:hAnsi="Times New Roman" w:eastAsia="宋体" w:cs="Times New Roman"/>
          <w:b/>
          <w:sz w:val="32"/>
          <w:szCs w:val="32"/>
        </w:rPr>
      </w:pPr>
    </w:p>
    <w:p w14:paraId="7F930286">
      <w:pPr>
        <w:spacing w:line="560" w:lineRule="exact"/>
        <w:rPr>
          <w:rFonts w:hint="default" w:ascii="Times New Roman" w:hAnsi="Times New Roman" w:eastAsia="宋体" w:cs="Times New Roman"/>
          <w:b/>
          <w:sz w:val="32"/>
          <w:szCs w:val="32"/>
        </w:rPr>
      </w:pPr>
    </w:p>
    <w:p w14:paraId="60A7AAA8">
      <w:pPr>
        <w:spacing w:line="560" w:lineRule="exact"/>
        <w:jc w:val="center"/>
        <w:rPr>
          <w:rFonts w:hint="default" w:ascii="Times New Roman" w:hAnsi="Times New Roman" w:eastAsia="宋体" w:cs="Times New Roman"/>
          <w:b/>
          <w:kern w:val="22"/>
          <w:sz w:val="32"/>
          <w:szCs w:val="32"/>
          <w:lang w:val="en-US" w:eastAsia="zh-CN"/>
        </w:rPr>
      </w:pPr>
      <w:r>
        <w:rPr>
          <w:rFonts w:hint="default" w:ascii="Times New Roman" w:hAnsi="Times New Roman" w:eastAsia="宋体" w:cs="Times New Roman"/>
          <w:b/>
          <w:kern w:val="22"/>
          <w:sz w:val="32"/>
          <w:szCs w:val="32"/>
        </w:rPr>
        <w:t>编制单位：</w:t>
      </w:r>
      <w:r>
        <w:rPr>
          <w:rFonts w:hint="default" w:ascii="Times New Roman" w:hAnsi="Times New Roman" w:eastAsia="宋体" w:cs="Times New Roman"/>
          <w:b/>
          <w:kern w:val="22"/>
          <w:sz w:val="32"/>
          <w:szCs w:val="32"/>
          <w:lang w:val="en-US" w:eastAsia="zh-CN"/>
        </w:rPr>
        <w:t>山西农业大学</w:t>
      </w:r>
    </w:p>
    <w:p w14:paraId="3D9707E1">
      <w:pPr>
        <w:spacing w:line="560" w:lineRule="exact"/>
        <w:jc w:val="center"/>
        <w:rPr>
          <w:rFonts w:hint="default" w:ascii="Times New Roman" w:hAnsi="Times New Roman" w:eastAsia="宋体" w:cs="Times New Roman"/>
          <w:b/>
          <w:kern w:val="22"/>
          <w:sz w:val="32"/>
          <w:szCs w:val="32"/>
          <w:lang w:val="en-US" w:eastAsia="zh-CN"/>
        </w:rPr>
      </w:pPr>
      <w:r>
        <w:rPr>
          <w:rFonts w:hint="default" w:ascii="Times New Roman" w:hAnsi="Times New Roman" w:eastAsia="宋体" w:cs="Times New Roman"/>
          <w:b/>
          <w:kern w:val="22"/>
          <w:sz w:val="32"/>
          <w:szCs w:val="32"/>
          <w:lang w:val="en-US" w:eastAsia="zh-CN"/>
        </w:rPr>
        <w:t>二〇二</w:t>
      </w:r>
      <w:r>
        <w:rPr>
          <w:rFonts w:hint="eastAsia" w:eastAsia="宋体" w:cs="Times New Roman"/>
          <w:b/>
          <w:kern w:val="22"/>
          <w:sz w:val="32"/>
          <w:szCs w:val="32"/>
          <w:lang w:val="en-US" w:eastAsia="zh-CN"/>
        </w:rPr>
        <w:t>四</w:t>
      </w:r>
      <w:r>
        <w:rPr>
          <w:rFonts w:hint="default" w:ascii="Times New Roman" w:hAnsi="Times New Roman" w:eastAsia="宋体" w:cs="Times New Roman"/>
          <w:b/>
          <w:kern w:val="22"/>
          <w:sz w:val="32"/>
          <w:szCs w:val="32"/>
          <w:lang w:val="en-US" w:eastAsia="zh-CN"/>
        </w:rPr>
        <w:t>年</w:t>
      </w:r>
      <w:r>
        <w:rPr>
          <w:rFonts w:hint="eastAsia" w:eastAsia="宋体" w:cs="Times New Roman"/>
          <w:b/>
          <w:kern w:val="22"/>
          <w:sz w:val="32"/>
          <w:szCs w:val="32"/>
          <w:lang w:val="en-US" w:eastAsia="zh-CN"/>
        </w:rPr>
        <w:t>十</w:t>
      </w:r>
      <w:r>
        <w:rPr>
          <w:rFonts w:hint="default" w:ascii="Times New Roman" w:hAnsi="Times New Roman" w:eastAsia="宋体" w:cs="Times New Roman"/>
          <w:b/>
          <w:kern w:val="22"/>
          <w:sz w:val="32"/>
          <w:szCs w:val="32"/>
          <w:lang w:val="en-US" w:eastAsia="zh-CN"/>
        </w:rPr>
        <w:t>月</w:t>
      </w:r>
      <w:r>
        <w:rPr>
          <w:rFonts w:hint="default" w:ascii="Times New Roman" w:hAnsi="Times New Roman" w:eastAsia="宋体" w:cs="Times New Roman"/>
          <w:b/>
          <w:kern w:val="22"/>
          <w:sz w:val="32"/>
          <w:szCs w:val="32"/>
          <w:lang w:val="en-US" w:eastAsia="zh-CN"/>
        </w:rPr>
        <w:br w:type="page"/>
      </w:r>
    </w:p>
    <w:p w14:paraId="1FC85AA7">
      <w:pPr>
        <w:keepNext w:val="0"/>
        <w:keepLines w:val="0"/>
        <w:pageBreakBefore w:val="0"/>
        <w:widowControl w:val="0"/>
        <w:numPr>
          <w:ilvl w:val="0"/>
          <w:numId w:val="2"/>
        </w:numPr>
        <w:kinsoku/>
        <w:wordWrap/>
        <w:overflowPunct/>
        <w:topLinePunct w:val="0"/>
        <w:autoSpaceDE/>
        <w:autoSpaceDN/>
        <w:bidi w:val="0"/>
        <w:adjustRightInd w:val="0"/>
        <w:snapToGrid w:val="0"/>
        <w:spacing w:before="219" w:beforeLines="50" w:after="219" w:afterLines="50" w:line="240" w:lineRule="auto"/>
        <w:ind w:firstLine="0" w:firstLineChars="0"/>
        <w:textAlignment w:val="auto"/>
        <w:rPr>
          <w:rFonts w:hint="default" w:ascii="Times New Roman" w:hAnsi="Times New Roman" w:eastAsia="宋体" w:cs="Times New Roman"/>
          <w:sz w:val="32"/>
        </w:rPr>
      </w:pPr>
      <w:r>
        <w:rPr>
          <w:rFonts w:hint="default" w:ascii="Times New Roman" w:hAnsi="Times New Roman" w:eastAsia="宋体" w:cs="Times New Roman"/>
          <w:b/>
          <w:kern w:val="2"/>
          <w:sz w:val="28"/>
          <w:szCs w:val="28"/>
          <w:lang w:val="en-US" w:eastAsia="zh-CN"/>
        </w:rPr>
        <w:t>工作</w:t>
      </w:r>
      <w:r>
        <w:rPr>
          <w:rFonts w:hint="eastAsia" w:ascii="Times New Roman" w:hAnsi="Times New Roman" w:eastAsia="宋体" w:cs="Times New Roman"/>
          <w:b/>
          <w:kern w:val="2"/>
          <w:sz w:val="28"/>
          <w:szCs w:val="28"/>
          <w:lang w:val="en-US" w:eastAsia="zh-CN"/>
        </w:rPr>
        <w:t>简况</w:t>
      </w:r>
    </w:p>
    <w:p w14:paraId="308F7A08">
      <w:pPr>
        <w:pStyle w:val="22"/>
        <w:keepNext w:val="0"/>
        <w:keepLines w:val="0"/>
        <w:pageBreakBefore w:val="0"/>
        <w:widowControl/>
        <w:numPr>
          <w:ilvl w:val="0"/>
          <w:numId w:val="3"/>
        </w:numPr>
        <w:kinsoku/>
        <w:wordWrap/>
        <w:overflowPunct/>
        <w:topLinePunct w:val="0"/>
        <w:autoSpaceDE w:val="0"/>
        <w:autoSpaceDN w:val="0"/>
        <w:bidi w:val="0"/>
        <w:adjustRightInd/>
        <w:snapToGrid/>
        <w:spacing w:before="219" w:beforeLines="50" w:line="240" w:lineRule="auto"/>
        <w:ind w:left="0" w:leftChars="0" w:firstLine="482" w:firstLineChars="200"/>
        <w:textAlignment w:val="auto"/>
        <w:rPr>
          <w:rFonts w:hint="default" w:ascii="Times New Roman" w:hAnsi="Times New Roman" w:eastAsia="宋体" w:cs="Times New Roman"/>
          <w:b/>
          <w:bCs/>
          <w:color w:val="000000"/>
          <w:kern w:val="2"/>
          <w:sz w:val="24"/>
          <w:szCs w:val="24"/>
        </w:rPr>
      </w:pPr>
      <w:r>
        <w:rPr>
          <w:rFonts w:hint="default" w:ascii="Times New Roman" w:hAnsi="Times New Roman" w:eastAsia="宋体" w:cs="Times New Roman"/>
          <w:b/>
          <w:bCs/>
          <w:color w:val="000000"/>
          <w:kern w:val="2"/>
          <w:sz w:val="24"/>
          <w:szCs w:val="24"/>
        </w:rPr>
        <w:t>任务来源</w:t>
      </w:r>
    </w:p>
    <w:p w14:paraId="25C49687">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本标准根据山西省市场监督管理局下达的202</w:t>
      </w:r>
      <w:r>
        <w:rPr>
          <w:rFonts w:hint="eastAsia" w:ascii="Times New Roman" w:hAnsi="Times New Roman" w:eastAsia="宋体" w:cs="Times New Roman"/>
          <w:b w:val="0"/>
          <w:bCs w:val="0"/>
          <w:sz w:val="24"/>
          <w:szCs w:val="24"/>
          <w:lang w:val="en-US" w:eastAsia="zh-CN"/>
        </w:rPr>
        <w:t>3</w:t>
      </w:r>
      <w:r>
        <w:rPr>
          <w:rFonts w:hint="default" w:ascii="Times New Roman" w:hAnsi="Times New Roman" w:eastAsia="宋体" w:cs="Times New Roman"/>
          <w:b w:val="0"/>
          <w:bCs w:val="0"/>
          <w:sz w:val="24"/>
          <w:szCs w:val="24"/>
          <w:lang w:val="en-US" w:eastAsia="zh-CN"/>
        </w:rPr>
        <w:t>年度山西省地方标准制修订项目的通知（晋市监发</w:t>
      </w:r>
      <w:r>
        <w:rPr>
          <w:rFonts w:hint="eastAsia" w:eastAsia="宋体" w:cs="Times New Roman"/>
          <w:b w:val="0"/>
          <w:bCs w:val="0"/>
          <w:sz w:val="24"/>
          <w:szCs w:val="24"/>
          <w:lang w:val="en-US" w:eastAsia="zh-CN"/>
        </w:rPr>
        <w:t>〔</w:t>
      </w:r>
      <w:r>
        <w:rPr>
          <w:rFonts w:hint="default" w:ascii="Times New Roman" w:hAnsi="Times New Roman" w:eastAsia="宋体" w:cs="Times New Roman"/>
          <w:b w:val="0"/>
          <w:bCs w:val="0"/>
          <w:sz w:val="24"/>
          <w:szCs w:val="24"/>
          <w:lang w:val="en-US" w:eastAsia="zh-CN"/>
        </w:rPr>
        <w:t>202</w:t>
      </w:r>
      <w:r>
        <w:rPr>
          <w:rFonts w:hint="eastAsia" w:ascii="Times New Roman" w:hAnsi="Times New Roman" w:eastAsia="宋体" w:cs="Times New Roman"/>
          <w:b w:val="0"/>
          <w:bCs w:val="0"/>
          <w:sz w:val="24"/>
          <w:szCs w:val="24"/>
          <w:lang w:val="en-US" w:eastAsia="zh-CN"/>
        </w:rPr>
        <w:t>3</w:t>
      </w:r>
      <w:r>
        <w:rPr>
          <w:rFonts w:hint="eastAsia" w:eastAsia="宋体" w:cs="Times New Roman"/>
          <w:b w:val="0"/>
          <w:bCs w:val="0"/>
          <w:sz w:val="24"/>
          <w:szCs w:val="24"/>
          <w:lang w:val="en-US" w:eastAsia="zh-CN"/>
        </w:rPr>
        <w:t>〕</w:t>
      </w:r>
      <w:r>
        <w:rPr>
          <w:rFonts w:hint="eastAsia" w:ascii="Times New Roman" w:hAnsi="Times New Roman" w:eastAsia="宋体" w:cs="Times New Roman"/>
          <w:b w:val="0"/>
          <w:bCs w:val="0"/>
          <w:sz w:val="24"/>
          <w:szCs w:val="24"/>
          <w:lang w:val="en-US" w:eastAsia="zh-CN"/>
        </w:rPr>
        <w:t>12</w:t>
      </w:r>
      <w:r>
        <w:rPr>
          <w:rFonts w:hint="default" w:ascii="Times New Roman" w:hAnsi="Times New Roman" w:eastAsia="宋体" w:cs="Times New Roman"/>
          <w:b w:val="0"/>
          <w:bCs w:val="0"/>
          <w:sz w:val="24"/>
          <w:szCs w:val="24"/>
          <w:lang w:val="en-US" w:eastAsia="zh-CN"/>
        </w:rPr>
        <w:t>号）制定，山西省农业农村厅提出并监督实施，山西省农业标准化技术委员会归口。</w:t>
      </w:r>
    </w:p>
    <w:p w14:paraId="40E65F77">
      <w:pPr>
        <w:pStyle w:val="22"/>
        <w:keepNext w:val="0"/>
        <w:keepLines w:val="0"/>
        <w:pageBreakBefore w:val="0"/>
        <w:widowControl/>
        <w:numPr>
          <w:ilvl w:val="0"/>
          <w:numId w:val="3"/>
        </w:numPr>
        <w:kinsoku/>
        <w:wordWrap/>
        <w:overflowPunct/>
        <w:topLinePunct w:val="0"/>
        <w:autoSpaceDE w:val="0"/>
        <w:autoSpaceDN w:val="0"/>
        <w:bidi w:val="0"/>
        <w:adjustRightInd/>
        <w:snapToGrid/>
        <w:spacing w:before="219" w:beforeLines="50" w:line="240" w:lineRule="auto"/>
        <w:ind w:left="0" w:leftChars="0" w:firstLine="482" w:firstLineChars="200"/>
        <w:textAlignment w:val="auto"/>
        <w:rPr>
          <w:rFonts w:hint="default" w:ascii="Times New Roman" w:hAnsi="Times New Roman" w:eastAsia="宋体" w:cs="Times New Roman"/>
          <w:b/>
          <w:bCs/>
          <w:color w:val="000000"/>
          <w:kern w:val="2"/>
          <w:sz w:val="24"/>
          <w:szCs w:val="24"/>
        </w:rPr>
      </w:pPr>
      <w:r>
        <w:rPr>
          <w:rFonts w:hint="default" w:ascii="Times New Roman" w:hAnsi="Times New Roman" w:eastAsia="宋体" w:cs="Times New Roman"/>
          <w:b/>
          <w:bCs/>
          <w:color w:val="000000"/>
          <w:kern w:val="2"/>
          <w:sz w:val="24"/>
          <w:szCs w:val="24"/>
        </w:rPr>
        <w:t>起草单位</w:t>
      </w:r>
      <w:r>
        <w:rPr>
          <w:rFonts w:hint="default" w:ascii="Times New Roman" w:hAnsi="Times New Roman" w:eastAsia="宋体" w:cs="Times New Roman"/>
          <w:b/>
          <w:bCs/>
          <w:color w:val="000000"/>
          <w:kern w:val="2"/>
          <w:sz w:val="24"/>
          <w:szCs w:val="24"/>
          <w:lang w:eastAsia="zh-CN"/>
        </w:rPr>
        <w:t>、</w:t>
      </w:r>
      <w:r>
        <w:rPr>
          <w:rFonts w:hint="default" w:ascii="Times New Roman" w:hAnsi="Times New Roman" w:eastAsia="宋体" w:cs="Times New Roman"/>
          <w:b/>
          <w:bCs/>
          <w:color w:val="000000"/>
          <w:kern w:val="2"/>
          <w:sz w:val="24"/>
          <w:szCs w:val="24"/>
        </w:rPr>
        <w:t>主要起草人</w:t>
      </w:r>
    </w:p>
    <w:p w14:paraId="6C01D61C">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起草单位：山西农业大学</w:t>
      </w:r>
    </w:p>
    <w:p w14:paraId="6D2952EF">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为完成本标准的编制任务，成立了编制小组，王彬为组长，组织编写了《</w:t>
      </w:r>
      <w:r>
        <w:rPr>
          <w:rFonts w:hint="eastAsia" w:eastAsia="宋体" w:cs="Times New Roman"/>
          <w:b w:val="0"/>
          <w:bCs w:val="0"/>
          <w:sz w:val="24"/>
          <w:szCs w:val="24"/>
          <w:lang w:val="en-US" w:eastAsia="zh-CN"/>
        </w:rPr>
        <w:t>远志主要病虫害绿色防控技术规程</w:t>
      </w:r>
      <w:r>
        <w:rPr>
          <w:rFonts w:hint="default" w:ascii="Times New Roman" w:hAnsi="Times New Roman" w:eastAsia="宋体" w:cs="Times New Roman"/>
          <w:b w:val="0"/>
          <w:bCs w:val="0"/>
          <w:sz w:val="24"/>
          <w:szCs w:val="24"/>
          <w:lang w:val="en-US" w:eastAsia="zh-CN"/>
        </w:rPr>
        <w:t>》标准的实施方案，编制小组成员分工见表1。</w:t>
      </w:r>
    </w:p>
    <w:p w14:paraId="3CC07474">
      <w:pPr>
        <w:adjustRightInd w:val="0"/>
        <w:snapToGrid w:val="0"/>
        <w:spacing w:line="580" w:lineRule="exact"/>
        <w:ind w:firstLine="482" w:firstLineChars="200"/>
        <w:jc w:val="center"/>
        <w:rPr>
          <w:rFonts w:hint="default" w:ascii="Times New Roman" w:hAnsi="Times New Roman" w:eastAsia="宋体" w:cs="Times New Roman"/>
          <w:b/>
          <w:bCs/>
          <w:color w:val="000000"/>
          <w:sz w:val="24"/>
          <w:szCs w:val="24"/>
        </w:rPr>
      </w:pPr>
      <w:r>
        <w:rPr>
          <w:rFonts w:hint="default" w:ascii="Times New Roman" w:hAnsi="Times New Roman" w:eastAsia="宋体" w:cs="Times New Roman"/>
          <w:b/>
          <w:color w:val="000000"/>
          <w:sz w:val="24"/>
          <w:szCs w:val="24"/>
        </w:rPr>
        <w:t>表1   编制小组成员分工</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9"/>
        <w:gridCol w:w="663"/>
        <w:gridCol w:w="2035"/>
        <w:gridCol w:w="1535"/>
        <w:gridCol w:w="3944"/>
      </w:tblGrid>
      <w:tr w14:paraId="501F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5" w:type="pct"/>
            <w:noWrap w:val="0"/>
            <w:vAlign w:val="center"/>
          </w:tcPr>
          <w:p w14:paraId="5C593F2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姓名</w:t>
            </w:r>
          </w:p>
        </w:tc>
        <w:tc>
          <w:tcPr>
            <w:tcW w:w="366" w:type="pct"/>
            <w:noWrap w:val="0"/>
            <w:vAlign w:val="center"/>
          </w:tcPr>
          <w:p w14:paraId="3343158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color w:val="000000"/>
                <w:kern w:val="0"/>
                <w:sz w:val="21"/>
                <w:szCs w:val="21"/>
                <w:lang w:eastAsia="zh-CN"/>
              </w:rPr>
            </w:pPr>
            <w:r>
              <w:rPr>
                <w:rFonts w:hint="eastAsia" w:ascii="Times New Roman" w:hAnsi="Times New Roman" w:eastAsia="宋体" w:cs="Times New Roman"/>
                <w:b/>
                <w:color w:val="000000"/>
                <w:kern w:val="0"/>
                <w:sz w:val="21"/>
                <w:szCs w:val="21"/>
                <w:lang w:val="en-US" w:eastAsia="zh-CN"/>
              </w:rPr>
              <w:t>性别</w:t>
            </w:r>
          </w:p>
        </w:tc>
        <w:tc>
          <w:tcPr>
            <w:tcW w:w="1123" w:type="pct"/>
            <w:noWrap w:val="0"/>
            <w:vAlign w:val="center"/>
          </w:tcPr>
          <w:p w14:paraId="7B14545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职务/职称</w:t>
            </w:r>
          </w:p>
        </w:tc>
        <w:tc>
          <w:tcPr>
            <w:tcW w:w="847" w:type="pct"/>
            <w:noWrap w:val="0"/>
            <w:vAlign w:val="center"/>
          </w:tcPr>
          <w:p w14:paraId="3C75040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工作单位</w:t>
            </w:r>
          </w:p>
        </w:tc>
        <w:tc>
          <w:tcPr>
            <w:tcW w:w="2176" w:type="pct"/>
            <w:noWrap w:val="0"/>
            <w:vAlign w:val="center"/>
          </w:tcPr>
          <w:p w14:paraId="63D9969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任务分工</w:t>
            </w:r>
          </w:p>
        </w:tc>
      </w:tr>
      <w:tr w14:paraId="78714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5" w:type="pct"/>
            <w:tcBorders>
              <w:tl2br w:val="nil"/>
              <w:tr2bl w:val="nil"/>
            </w:tcBorders>
            <w:noWrap w:val="0"/>
            <w:vAlign w:val="center"/>
          </w:tcPr>
          <w:p w14:paraId="6795256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王 彬</w:t>
            </w:r>
          </w:p>
        </w:tc>
        <w:tc>
          <w:tcPr>
            <w:tcW w:w="366" w:type="pct"/>
            <w:tcBorders>
              <w:tl2br w:val="nil"/>
              <w:tr2bl w:val="nil"/>
            </w:tcBorders>
            <w:noWrap w:val="0"/>
            <w:vAlign w:val="center"/>
          </w:tcPr>
          <w:p w14:paraId="53BEC3D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男</w:t>
            </w:r>
          </w:p>
        </w:tc>
        <w:tc>
          <w:tcPr>
            <w:tcW w:w="1123" w:type="pct"/>
            <w:tcBorders>
              <w:tl2br w:val="nil"/>
              <w:tr2bl w:val="nil"/>
            </w:tcBorders>
            <w:noWrap w:val="0"/>
            <w:vAlign w:val="center"/>
          </w:tcPr>
          <w:p w14:paraId="5E2CC4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副主任/助理研究员</w:t>
            </w:r>
          </w:p>
        </w:tc>
        <w:tc>
          <w:tcPr>
            <w:tcW w:w="847" w:type="pct"/>
            <w:tcBorders>
              <w:tl2br w:val="nil"/>
              <w:tr2bl w:val="nil"/>
            </w:tcBorders>
            <w:noWrap w:val="0"/>
            <w:vAlign w:val="center"/>
          </w:tcPr>
          <w:p w14:paraId="040CB91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山西农业大学</w:t>
            </w:r>
          </w:p>
        </w:tc>
        <w:tc>
          <w:tcPr>
            <w:tcW w:w="2176" w:type="pct"/>
            <w:tcBorders>
              <w:tl2br w:val="nil"/>
              <w:tr2bl w:val="nil"/>
            </w:tcBorders>
            <w:noWrap w:val="0"/>
            <w:vAlign w:val="center"/>
          </w:tcPr>
          <w:p w14:paraId="4B258B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总体规划、组织实施和监督、</w:t>
            </w:r>
            <w:r>
              <w:rPr>
                <w:rFonts w:hint="default" w:ascii="Times New Roman" w:hAnsi="Times New Roman" w:eastAsia="宋体" w:cs="Times New Roman"/>
                <w:color w:val="000000"/>
                <w:kern w:val="0"/>
                <w:sz w:val="21"/>
                <w:szCs w:val="21"/>
                <w:lang w:val="en-US" w:eastAsia="zh-CN"/>
              </w:rPr>
              <w:t>标准</w:t>
            </w:r>
            <w:r>
              <w:rPr>
                <w:rFonts w:hint="default" w:ascii="Times New Roman" w:hAnsi="Times New Roman" w:eastAsia="宋体" w:cs="Times New Roman"/>
                <w:color w:val="000000"/>
                <w:kern w:val="0"/>
                <w:sz w:val="21"/>
                <w:szCs w:val="21"/>
              </w:rPr>
              <w:t>编写</w:t>
            </w:r>
          </w:p>
        </w:tc>
      </w:tr>
      <w:tr w14:paraId="2ACFF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5" w:type="pct"/>
            <w:tcBorders>
              <w:tl2br w:val="nil"/>
              <w:tr2bl w:val="nil"/>
            </w:tcBorders>
            <w:noWrap w:val="0"/>
            <w:vAlign w:val="center"/>
          </w:tcPr>
          <w:p w14:paraId="00485AA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秦曙</w:t>
            </w:r>
          </w:p>
        </w:tc>
        <w:tc>
          <w:tcPr>
            <w:tcW w:w="366" w:type="pct"/>
            <w:tcBorders>
              <w:tl2br w:val="nil"/>
              <w:tr2bl w:val="nil"/>
            </w:tcBorders>
            <w:noWrap w:val="0"/>
            <w:vAlign w:val="center"/>
          </w:tcPr>
          <w:p w14:paraId="7622EB2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lang w:val="en-US" w:eastAsia="zh-CN"/>
              </w:rPr>
              <w:t>女</w:t>
            </w:r>
          </w:p>
        </w:tc>
        <w:tc>
          <w:tcPr>
            <w:tcW w:w="1123" w:type="pct"/>
            <w:tcBorders>
              <w:tl2br w:val="nil"/>
              <w:tr2bl w:val="nil"/>
            </w:tcBorders>
            <w:noWrap w:val="0"/>
            <w:vAlign w:val="center"/>
          </w:tcPr>
          <w:p w14:paraId="3283051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主任/研究员</w:t>
            </w:r>
          </w:p>
        </w:tc>
        <w:tc>
          <w:tcPr>
            <w:tcW w:w="847" w:type="pct"/>
            <w:tcBorders>
              <w:tl2br w:val="nil"/>
              <w:tr2bl w:val="nil"/>
            </w:tcBorders>
            <w:noWrap w:val="0"/>
            <w:vAlign w:val="center"/>
          </w:tcPr>
          <w:p w14:paraId="2F5A5E4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山西农业大学</w:t>
            </w:r>
          </w:p>
        </w:tc>
        <w:tc>
          <w:tcPr>
            <w:tcW w:w="2176" w:type="pct"/>
            <w:tcBorders>
              <w:tl2br w:val="nil"/>
              <w:tr2bl w:val="nil"/>
            </w:tcBorders>
            <w:noWrap w:val="0"/>
            <w:vAlign w:val="center"/>
          </w:tcPr>
          <w:p w14:paraId="33725E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资料查询、材料编写</w:t>
            </w:r>
          </w:p>
        </w:tc>
      </w:tr>
      <w:tr w14:paraId="4671B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5" w:type="pct"/>
            <w:tcBorders>
              <w:tl2br w:val="nil"/>
              <w:tr2bl w:val="nil"/>
            </w:tcBorders>
            <w:noWrap w:val="0"/>
            <w:vAlign w:val="center"/>
          </w:tcPr>
          <w:p w14:paraId="55E95D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丁 超</w:t>
            </w:r>
          </w:p>
        </w:tc>
        <w:tc>
          <w:tcPr>
            <w:tcW w:w="366" w:type="pct"/>
            <w:tcBorders>
              <w:tl2br w:val="nil"/>
              <w:tr2bl w:val="nil"/>
            </w:tcBorders>
            <w:noWrap w:val="0"/>
            <w:vAlign w:val="center"/>
          </w:tcPr>
          <w:p w14:paraId="7D2A0B4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color w:val="000000"/>
                <w:kern w:val="0"/>
                <w:sz w:val="21"/>
                <w:szCs w:val="21"/>
                <w:lang w:eastAsia="zh-CN"/>
              </w:rPr>
            </w:pPr>
            <w:r>
              <w:rPr>
                <w:rFonts w:hint="eastAsia" w:ascii="Times New Roman" w:hAnsi="Times New Roman" w:eastAsia="宋体" w:cs="Times New Roman"/>
                <w:color w:val="000000"/>
                <w:kern w:val="0"/>
                <w:sz w:val="21"/>
                <w:szCs w:val="21"/>
                <w:lang w:val="en-US" w:eastAsia="zh-CN"/>
              </w:rPr>
              <w:t>男</w:t>
            </w:r>
          </w:p>
        </w:tc>
        <w:tc>
          <w:tcPr>
            <w:tcW w:w="1123" w:type="pct"/>
            <w:tcBorders>
              <w:tl2br w:val="nil"/>
              <w:tr2bl w:val="nil"/>
            </w:tcBorders>
            <w:noWrap w:val="0"/>
            <w:vAlign w:val="center"/>
          </w:tcPr>
          <w:p w14:paraId="71C1E4B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副主任/副研究员</w:t>
            </w:r>
          </w:p>
        </w:tc>
        <w:tc>
          <w:tcPr>
            <w:tcW w:w="847" w:type="pct"/>
            <w:tcBorders>
              <w:tl2br w:val="nil"/>
              <w:tr2bl w:val="nil"/>
            </w:tcBorders>
            <w:noWrap w:val="0"/>
            <w:vAlign w:val="center"/>
          </w:tcPr>
          <w:p w14:paraId="1CDFDA7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山西农业大学</w:t>
            </w:r>
          </w:p>
        </w:tc>
        <w:tc>
          <w:tcPr>
            <w:tcW w:w="2176" w:type="pct"/>
            <w:tcBorders>
              <w:tl2br w:val="nil"/>
              <w:tr2bl w:val="nil"/>
            </w:tcBorders>
            <w:noWrap w:val="0"/>
            <w:vAlign w:val="center"/>
          </w:tcPr>
          <w:p w14:paraId="7BFE11F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资料查询、材料编写</w:t>
            </w:r>
          </w:p>
        </w:tc>
      </w:tr>
      <w:tr w14:paraId="2A8A6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5" w:type="pct"/>
            <w:tcBorders>
              <w:tl2br w:val="nil"/>
              <w:tr2bl w:val="nil"/>
            </w:tcBorders>
            <w:noWrap w:val="0"/>
            <w:vAlign w:val="center"/>
          </w:tcPr>
          <w:p w14:paraId="54D354D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lang w:val="en-US" w:eastAsia="zh-CN"/>
              </w:rPr>
              <w:t>戴国富</w:t>
            </w:r>
          </w:p>
        </w:tc>
        <w:tc>
          <w:tcPr>
            <w:tcW w:w="366" w:type="pct"/>
            <w:tcBorders>
              <w:tl2br w:val="nil"/>
              <w:tr2bl w:val="nil"/>
            </w:tcBorders>
            <w:noWrap w:val="0"/>
            <w:vAlign w:val="center"/>
          </w:tcPr>
          <w:p w14:paraId="5587788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lang w:val="en-US"/>
              </w:rPr>
            </w:pPr>
            <w:r>
              <w:rPr>
                <w:rFonts w:hint="eastAsia" w:ascii="Times New Roman" w:hAnsi="Times New Roman" w:eastAsia="宋体" w:cs="Times New Roman"/>
                <w:color w:val="000000"/>
                <w:kern w:val="0"/>
                <w:sz w:val="21"/>
                <w:szCs w:val="21"/>
                <w:lang w:val="en-US" w:eastAsia="zh-CN"/>
              </w:rPr>
              <w:t>男</w:t>
            </w:r>
          </w:p>
        </w:tc>
        <w:tc>
          <w:tcPr>
            <w:tcW w:w="1123" w:type="pct"/>
            <w:tcBorders>
              <w:tl2br w:val="nil"/>
              <w:tr2bl w:val="nil"/>
            </w:tcBorders>
            <w:noWrap w:val="0"/>
            <w:vAlign w:val="center"/>
          </w:tcPr>
          <w:p w14:paraId="7382F40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lang w:val="en-US" w:eastAsia="zh-CN"/>
              </w:rPr>
              <w:t>骨干/</w:t>
            </w:r>
            <w:r>
              <w:rPr>
                <w:rFonts w:hint="default" w:ascii="Times New Roman" w:hAnsi="Times New Roman" w:eastAsia="宋体" w:cs="Times New Roman"/>
                <w:color w:val="000000"/>
                <w:kern w:val="0"/>
                <w:sz w:val="21"/>
                <w:szCs w:val="21"/>
              </w:rPr>
              <w:t>助理研究员</w:t>
            </w:r>
          </w:p>
        </w:tc>
        <w:tc>
          <w:tcPr>
            <w:tcW w:w="847" w:type="pct"/>
            <w:tcBorders>
              <w:tl2br w:val="nil"/>
              <w:tr2bl w:val="nil"/>
            </w:tcBorders>
            <w:noWrap w:val="0"/>
            <w:vAlign w:val="center"/>
          </w:tcPr>
          <w:p w14:paraId="5E44B0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山西农业大学</w:t>
            </w:r>
          </w:p>
        </w:tc>
        <w:tc>
          <w:tcPr>
            <w:tcW w:w="2176" w:type="pct"/>
            <w:tcBorders>
              <w:tl2br w:val="nil"/>
              <w:tr2bl w:val="nil"/>
            </w:tcBorders>
            <w:noWrap w:val="0"/>
            <w:vAlign w:val="center"/>
          </w:tcPr>
          <w:p w14:paraId="300685F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资料查询、材料编写</w:t>
            </w:r>
          </w:p>
        </w:tc>
      </w:tr>
      <w:tr w14:paraId="1FF73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5" w:type="pct"/>
            <w:tcBorders>
              <w:tl2br w:val="nil"/>
              <w:tr2bl w:val="nil"/>
            </w:tcBorders>
            <w:noWrap w:val="0"/>
            <w:vAlign w:val="center"/>
          </w:tcPr>
          <w:p w14:paraId="5F6FE76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lang w:val="en-US" w:eastAsia="zh-CN"/>
              </w:rPr>
              <w:t>逯楠</w:t>
            </w:r>
          </w:p>
        </w:tc>
        <w:tc>
          <w:tcPr>
            <w:tcW w:w="366" w:type="pct"/>
            <w:tcBorders>
              <w:tl2br w:val="nil"/>
              <w:tr2bl w:val="nil"/>
            </w:tcBorders>
            <w:noWrap w:val="0"/>
            <w:vAlign w:val="center"/>
          </w:tcPr>
          <w:p w14:paraId="5B15A3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lang w:val="en-US"/>
              </w:rPr>
            </w:pPr>
            <w:r>
              <w:rPr>
                <w:rFonts w:hint="eastAsia" w:ascii="Times New Roman" w:hAnsi="Times New Roman" w:eastAsia="宋体" w:cs="Times New Roman"/>
                <w:color w:val="000000"/>
                <w:kern w:val="0"/>
                <w:sz w:val="21"/>
                <w:szCs w:val="21"/>
                <w:lang w:val="en-US" w:eastAsia="zh-CN"/>
              </w:rPr>
              <w:t>男</w:t>
            </w:r>
          </w:p>
        </w:tc>
        <w:tc>
          <w:tcPr>
            <w:tcW w:w="1123" w:type="pct"/>
            <w:tcBorders>
              <w:tl2br w:val="nil"/>
              <w:tr2bl w:val="nil"/>
            </w:tcBorders>
            <w:noWrap w:val="0"/>
            <w:vAlign w:val="center"/>
          </w:tcPr>
          <w:p w14:paraId="0E314A1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lang w:val="en-US" w:eastAsia="zh-CN"/>
              </w:rPr>
              <w:t>骨干/</w:t>
            </w:r>
            <w:r>
              <w:rPr>
                <w:rFonts w:hint="default" w:ascii="Times New Roman" w:hAnsi="Times New Roman" w:eastAsia="宋体" w:cs="Times New Roman"/>
                <w:color w:val="000000"/>
                <w:kern w:val="0"/>
                <w:sz w:val="21"/>
                <w:szCs w:val="21"/>
              </w:rPr>
              <w:t>助理研究员</w:t>
            </w:r>
          </w:p>
        </w:tc>
        <w:tc>
          <w:tcPr>
            <w:tcW w:w="847" w:type="pct"/>
            <w:tcBorders>
              <w:tl2br w:val="nil"/>
              <w:tr2bl w:val="nil"/>
            </w:tcBorders>
            <w:noWrap w:val="0"/>
            <w:vAlign w:val="center"/>
          </w:tcPr>
          <w:p w14:paraId="5C1DA4F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山西农业大学</w:t>
            </w:r>
          </w:p>
        </w:tc>
        <w:tc>
          <w:tcPr>
            <w:tcW w:w="2176" w:type="pct"/>
            <w:tcBorders>
              <w:tl2br w:val="nil"/>
              <w:tr2bl w:val="nil"/>
            </w:tcBorders>
            <w:noWrap w:val="0"/>
            <w:vAlign w:val="center"/>
          </w:tcPr>
          <w:p w14:paraId="7C467D2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资料查询</w:t>
            </w:r>
          </w:p>
        </w:tc>
      </w:tr>
      <w:tr w14:paraId="359D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5" w:type="pct"/>
            <w:tcBorders>
              <w:tl2br w:val="nil"/>
              <w:tr2bl w:val="nil"/>
            </w:tcBorders>
            <w:noWrap w:val="0"/>
            <w:vAlign w:val="center"/>
          </w:tcPr>
          <w:p w14:paraId="6BF474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lang w:val="en-US" w:eastAsia="zh-CN"/>
              </w:rPr>
              <w:t>李伟</w:t>
            </w:r>
          </w:p>
        </w:tc>
        <w:tc>
          <w:tcPr>
            <w:tcW w:w="366" w:type="pct"/>
            <w:tcBorders>
              <w:tl2br w:val="nil"/>
              <w:tr2bl w:val="nil"/>
            </w:tcBorders>
            <w:noWrap w:val="0"/>
            <w:vAlign w:val="center"/>
          </w:tcPr>
          <w:p w14:paraId="07949D6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lang w:val="en-US"/>
              </w:rPr>
            </w:pPr>
            <w:r>
              <w:rPr>
                <w:rFonts w:hint="eastAsia" w:ascii="Times New Roman" w:hAnsi="Times New Roman" w:eastAsia="宋体" w:cs="Times New Roman"/>
                <w:color w:val="000000"/>
                <w:kern w:val="0"/>
                <w:sz w:val="21"/>
                <w:szCs w:val="21"/>
                <w:lang w:val="en-US" w:eastAsia="zh-CN"/>
              </w:rPr>
              <w:t>男</w:t>
            </w:r>
          </w:p>
        </w:tc>
        <w:tc>
          <w:tcPr>
            <w:tcW w:w="1123" w:type="pct"/>
            <w:tcBorders>
              <w:tl2br w:val="nil"/>
              <w:tr2bl w:val="nil"/>
            </w:tcBorders>
            <w:noWrap w:val="0"/>
            <w:vAlign w:val="center"/>
          </w:tcPr>
          <w:p w14:paraId="7EA672C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lang w:val="en-US" w:eastAsia="zh-CN"/>
              </w:rPr>
              <w:t>骨干/</w:t>
            </w:r>
            <w:r>
              <w:rPr>
                <w:rFonts w:hint="default" w:ascii="Times New Roman" w:hAnsi="Times New Roman" w:eastAsia="宋体" w:cs="Times New Roman"/>
                <w:color w:val="000000"/>
                <w:kern w:val="0"/>
                <w:sz w:val="21"/>
                <w:szCs w:val="21"/>
              </w:rPr>
              <w:t>助理研究员</w:t>
            </w:r>
          </w:p>
        </w:tc>
        <w:tc>
          <w:tcPr>
            <w:tcW w:w="847" w:type="pct"/>
            <w:tcBorders>
              <w:tl2br w:val="nil"/>
              <w:tr2bl w:val="nil"/>
            </w:tcBorders>
            <w:noWrap w:val="0"/>
            <w:vAlign w:val="center"/>
          </w:tcPr>
          <w:p w14:paraId="60A368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山西农业大学</w:t>
            </w:r>
          </w:p>
        </w:tc>
        <w:tc>
          <w:tcPr>
            <w:tcW w:w="2176" w:type="pct"/>
            <w:tcBorders>
              <w:tl2br w:val="nil"/>
              <w:tr2bl w:val="nil"/>
            </w:tcBorders>
            <w:noWrap w:val="0"/>
            <w:vAlign w:val="center"/>
          </w:tcPr>
          <w:p w14:paraId="45A1C76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资料查询</w:t>
            </w:r>
          </w:p>
        </w:tc>
      </w:tr>
      <w:tr w14:paraId="45EB1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5" w:type="pct"/>
            <w:tcBorders>
              <w:tl2br w:val="nil"/>
              <w:tr2bl w:val="nil"/>
            </w:tcBorders>
            <w:noWrap w:val="0"/>
            <w:vAlign w:val="center"/>
          </w:tcPr>
          <w:p w14:paraId="50CE20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rPr>
              <w:t>李晋栋</w:t>
            </w:r>
          </w:p>
        </w:tc>
        <w:tc>
          <w:tcPr>
            <w:tcW w:w="366" w:type="pct"/>
            <w:tcBorders>
              <w:tl2br w:val="nil"/>
              <w:tr2bl w:val="nil"/>
            </w:tcBorders>
            <w:noWrap w:val="0"/>
            <w:vAlign w:val="center"/>
          </w:tcPr>
          <w:p w14:paraId="611E862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lang w:val="en-US"/>
              </w:rPr>
            </w:pPr>
            <w:r>
              <w:rPr>
                <w:rFonts w:hint="eastAsia" w:ascii="Times New Roman" w:hAnsi="Times New Roman" w:eastAsia="宋体" w:cs="Times New Roman"/>
                <w:color w:val="000000"/>
                <w:kern w:val="0"/>
                <w:sz w:val="21"/>
                <w:szCs w:val="21"/>
                <w:lang w:val="en-US" w:eastAsia="zh-CN"/>
              </w:rPr>
              <w:t>男</w:t>
            </w:r>
          </w:p>
        </w:tc>
        <w:tc>
          <w:tcPr>
            <w:tcW w:w="1123" w:type="pct"/>
            <w:tcBorders>
              <w:tl2br w:val="nil"/>
              <w:tr2bl w:val="nil"/>
            </w:tcBorders>
            <w:noWrap w:val="0"/>
            <w:vAlign w:val="center"/>
          </w:tcPr>
          <w:p w14:paraId="3BFF8FD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lang w:val="en-US" w:eastAsia="zh-CN"/>
              </w:rPr>
              <w:t>科</w:t>
            </w:r>
            <w:r>
              <w:rPr>
                <w:rFonts w:hint="default" w:ascii="Times New Roman" w:hAnsi="Times New Roman" w:eastAsia="宋体" w:cs="Times New Roman"/>
                <w:color w:val="000000"/>
                <w:kern w:val="0"/>
                <w:sz w:val="21"/>
                <w:szCs w:val="21"/>
              </w:rPr>
              <w:t>室主任/副研究员</w:t>
            </w:r>
          </w:p>
        </w:tc>
        <w:tc>
          <w:tcPr>
            <w:tcW w:w="847" w:type="pct"/>
            <w:tcBorders>
              <w:tl2br w:val="nil"/>
              <w:tr2bl w:val="nil"/>
            </w:tcBorders>
            <w:noWrap w:val="0"/>
            <w:vAlign w:val="center"/>
          </w:tcPr>
          <w:p w14:paraId="18DFCC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山西农业大学</w:t>
            </w:r>
          </w:p>
        </w:tc>
        <w:tc>
          <w:tcPr>
            <w:tcW w:w="2176" w:type="pct"/>
            <w:tcBorders>
              <w:tl2br w:val="nil"/>
              <w:tr2bl w:val="nil"/>
            </w:tcBorders>
            <w:noWrap w:val="0"/>
            <w:vAlign w:val="center"/>
          </w:tcPr>
          <w:p w14:paraId="20F6C7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资料查询、材料编写</w:t>
            </w:r>
          </w:p>
        </w:tc>
      </w:tr>
      <w:tr w14:paraId="65EA1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5" w:type="pct"/>
            <w:tcBorders>
              <w:tl2br w:val="nil"/>
              <w:tr2bl w:val="nil"/>
            </w:tcBorders>
            <w:noWrap w:val="0"/>
            <w:vAlign w:val="center"/>
          </w:tcPr>
          <w:p w14:paraId="4F5B0C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rPr>
              <w:t>曹俊丽</w:t>
            </w:r>
          </w:p>
        </w:tc>
        <w:tc>
          <w:tcPr>
            <w:tcW w:w="366" w:type="pct"/>
            <w:tcBorders>
              <w:tl2br w:val="nil"/>
              <w:tr2bl w:val="nil"/>
            </w:tcBorders>
            <w:noWrap w:val="0"/>
            <w:vAlign w:val="center"/>
          </w:tcPr>
          <w:p w14:paraId="50490C7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女</w:t>
            </w:r>
          </w:p>
        </w:tc>
        <w:tc>
          <w:tcPr>
            <w:tcW w:w="1123" w:type="pct"/>
            <w:tcBorders>
              <w:tl2br w:val="nil"/>
              <w:tr2bl w:val="nil"/>
            </w:tcBorders>
            <w:noWrap w:val="0"/>
            <w:vAlign w:val="center"/>
          </w:tcPr>
          <w:p w14:paraId="63A2FB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lang w:val="en-US" w:eastAsia="zh-CN"/>
              </w:rPr>
              <w:t>骨干/</w:t>
            </w:r>
            <w:r>
              <w:rPr>
                <w:rFonts w:hint="default" w:ascii="Times New Roman" w:hAnsi="Times New Roman" w:eastAsia="宋体" w:cs="Times New Roman"/>
                <w:color w:val="000000"/>
                <w:kern w:val="0"/>
                <w:sz w:val="21"/>
                <w:szCs w:val="21"/>
              </w:rPr>
              <w:t>助理研究员</w:t>
            </w:r>
          </w:p>
        </w:tc>
        <w:tc>
          <w:tcPr>
            <w:tcW w:w="847" w:type="pct"/>
            <w:tcBorders>
              <w:tl2br w:val="nil"/>
              <w:tr2bl w:val="nil"/>
            </w:tcBorders>
            <w:noWrap w:val="0"/>
            <w:vAlign w:val="center"/>
          </w:tcPr>
          <w:p w14:paraId="02FCF2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山西农业大学</w:t>
            </w:r>
          </w:p>
        </w:tc>
        <w:tc>
          <w:tcPr>
            <w:tcW w:w="2176" w:type="pct"/>
            <w:tcBorders>
              <w:tl2br w:val="nil"/>
              <w:tr2bl w:val="nil"/>
            </w:tcBorders>
            <w:noWrap w:val="0"/>
            <w:vAlign w:val="center"/>
          </w:tcPr>
          <w:p w14:paraId="427805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资料查询、材料编写</w:t>
            </w:r>
          </w:p>
        </w:tc>
      </w:tr>
      <w:tr w14:paraId="735FB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5" w:type="pct"/>
            <w:tcBorders>
              <w:tl2br w:val="nil"/>
              <w:tr2bl w:val="nil"/>
            </w:tcBorders>
            <w:noWrap w:val="0"/>
            <w:vAlign w:val="center"/>
          </w:tcPr>
          <w:p w14:paraId="4FCBCE4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rPr>
              <w:t>齐艳丽</w:t>
            </w:r>
          </w:p>
        </w:tc>
        <w:tc>
          <w:tcPr>
            <w:tcW w:w="366" w:type="pct"/>
            <w:tcBorders>
              <w:tl2br w:val="nil"/>
              <w:tr2bl w:val="nil"/>
            </w:tcBorders>
            <w:noWrap w:val="0"/>
            <w:vAlign w:val="center"/>
          </w:tcPr>
          <w:p w14:paraId="200E7E3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女</w:t>
            </w:r>
          </w:p>
        </w:tc>
        <w:tc>
          <w:tcPr>
            <w:tcW w:w="1123" w:type="pct"/>
            <w:tcBorders>
              <w:tl2br w:val="nil"/>
              <w:tr2bl w:val="nil"/>
            </w:tcBorders>
            <w:noWrap w:val="0"/>
            <w:vAlign w:val="center"/>
          </w:tcPr>
          <w:p w14:paraId="0E6E6D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lang w:val="en-US" w:eastAsia="zh-CN"/>
              </w:rPr>
              <w:t>骨干/副</w:t>
            </w:r>
            <w:r>
              <w:rPr>
                <w:rFonts w:hint="default" w:ascii="Times New Roman" w:hAnsi="Times New Roman" w:eastAsia="宋体" w:cs="Times New Roman"/>
                <w:color w:val="000000"/>
                <w:kern w:val="0"/>
                <w:sz w:val="21"/>
                <w:szCs w:val="21"/>
              </w:rPr>
              <w:t>研究员</w:t>
            </w:r>
          </w:p>
        </w:tc>
        <w:tc>
          <w:tcPr>
            <w:tcW w:w="847" w:type="pct"/>
            <w:tcBorders>
              <w:tl2br w:val="nil"/>
              <w:tr2bl w:val="nil"/>
            </w:tcBorders>
            <w:noWrap w:val="0"/>
            <w:vAlign w:val="center"/>
          </w:tcPr>
          <w:p w14:paraId="5B66C80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山西农业大学</w:t>
            </w:r>
          </w:p>
        </w:tc>
        <w:tc>
          <w:tcPr>
            <w:tcW w:w="2176" w:type="pct"/>
            <w:tcBorders>
              <w:tl2br w:val="nil"/>
              <w:tr2bl w:val="nil"/>
            </w:tcBorders>
            <w:noWrap w:val="0"/>
            <w:vAlign w:val="center"/>
          </w:tcPr>
          <w:p w14:paraId="7B80F7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资料查询、材料编写</w:t>
            </w:r>
          </w:p>
        </w:tc>
      </w:tr>
      <w:tr w14:paraId="6114E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5" w:type="pct"/>
            <w:tcBorders>
              <w:tl2br w:val="nil"/>
              <w:tr2bl w:val="nil"/>
            </w:tcBorders>
            <w:noWrap w:val="0"/>
            <w:vAlign w:val="center"/>
          </w:tcPr>
          <w:p w14:paraId="50BA5C4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任鹏程</w:t>
            </w:r>
          </w:p>
        </w:tc>
        <w:tc>
          <w:tcPr>
            <w:tcW w:w="366" w:type="pct"/>
            <w:tcBorders>
              <w:tl2br w:val="nil"/>
              <w:tr2bl w:val="nil"/>
            </w:tcBorders>
            <w:noWrap w:val="0"/>
            <w:vAlign w:val="center"/>
          </w:tcPr>
          <w:p w14:paraId="5DAF553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lang w:val="en-US" w:eastAsia="zh-CN"/>
              </w:rPr>
              <w:t>男</w:t>
            </w:r>
          </w:p>
        </w:tc>
        <w:tc>
          <w:tcPr>
            <w:tcW w:w="1123" w:type="pct"/>
            <w:tcBorders>
              <w:tl2br w:val="nil"/>
              <w:tr2bl w:val="nil"/>
            </w:tcBorders>
            <w:noWrap w:val="0"/>
            <w:vAlign w:val="center"/>
          </w:tcPr>
          <w:p w14:paraId="0A82360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lang w:val="en-US" w:eastAsia="zh-CN"/>
              </w:rPr>
              <w:t>骨干</w:t>
            </w:r>
            <w:r>
              <w:rPr>
                <w:rFonts w:hint="default" w:ascii="Times New Roman" w:hAnsi="Times New Roman" w:eastAsia="宋体" w:cs="Times New Roman"/>
                <w:color w:val="000000"/>
                <w:kern w:val="0"/>
                <w:sz w:val="21"/>
                <w:szCs w:val="21"/>
              </w:rPr>
              <w:t>/</w:t>
            </w:r>
            <w:r>
              <w:rPr>
                <w:rFonts w:hint="eastAsia" w:ascii="Times New Roman" w:hAnsi="Times New Roman" w:eastAsia="宋体" w:cs="Times New Roman"/>
                <w:color w:val="000000"/>
                <w:kern w:val="0"/>
                <w:sz w:val="21"/>
                <w:szCs w:val="21"/>
                <w:lang w:val="en-US" w:eastAsia="zh-CN"/>
              </w:rPr>
              <w:t>助理</w:t>
            </w:r>
            <w:r>
              <w:rPr>
                <w:rFonts w:hint="default" w:ascii="Times New Roman" w:hAnsi="Times New Roman" w:eastAsia="宋体" w:cs="Times New Roman"/>
                <w:color w:val="000000"/>
                <w:kern w:val="0"/>
                <w:sz w:val="21"/>
                <w:szCs w:val="21"/>
              </w:rPr>
              <w:t>研究员</w:t>
            </w:r>
          </w:p>
        </w:tc>
        <w:tc>
          <w:tcPr>
            <w:tcW w:w="847" w:type="pct"/>
            <w:tcBorders>
              <w:tl2br w:val="nil"/>
              <w:tr2bl w:val="nil"/>
            </w:tcBorders>
            <w:noWrap w:val="0"/>
            <w:vAlign w:val="center"/>
          </w:tcPr>
          <w:p w14:paraId="6196FCB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山西农业大学</w:t>
            </w:r>
          </w:p>
        </w:tc>
        <w:tc>
          <w:tcPr>
            <w:tcW w:w="2176" w:type="pct"/>
            <w:tcBorders>
              <w:tl2br w:val="nil"/>
              <w:tr2bl w:val="nil"/>
            </w:tcBorders>
            <w:noWrap w:val="0"/>
            <w:vAlign w:val="center"/>
          </w:tcPr>
          <w:p w14:paraId="4B2DFA3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资料查询、材料编写</w:t>
            </w:r>
          </w:p>
        </w:tc>
      </w:tr>
    </w:tbl>
    <w:p w14:paraId="7345A0BD">
      <w:pPr>
        <w:keepNext w:val="0"/>
        <w:keepLines w:val="0"/>
        <w:pageBreakBefore w:val="0"/>
        <w:widowControl w:val="0"/>
        <w:numPr>
          <w:ilvl w:val="0"/>
          <w:numId w:val="2"/>
        </w:numPr>
        <w:kinsoku/>
        <w:wordWrap/>
        <w:overflowPunct/>
        <w:topLinePunct w:val="0"/>
        <w:autoSpaceDE/>
        <w:autoSpaceDN/>
        <w:bidi w:val="0"/>
        <w:adjustRightInd w:val="0"/>
        <w:snapToGrid w:val="0"/>
        <w:spacing w:before="219" w:beforeLines="50" w:after="219" w:afterLines="50" w:line="240" w:lineRule="auto"/>
        <w:ind w:firstLine="0" w:firstLineChars="0"/>
        <w:textAlignment w:val="auto"/>
        <w:rPr>
          <w:rFonts w:hint="default" w:ascii="Times New Roman" w:hAnsi="Times New Roman" w:eastAsia="宋体" w:cs="Times New Roman"/>
          <w:b/>
          <w:kern w:val="2"/>
          <w:sz w:val="28"/>
          <w:szCs w:val="28"/>
          <w:lang w:val="en-US" w:eastAsia="zh-CN"/>
        </w:rPr>
      </w:pPr>
      <w:r>
        <w:rPr>
          <w:rFonts w:hint="eastAsia" w:ascii="Times New Roman" w:hAnsi="Times New Roman" w:eastAsia="宋体" w:cs="Times New Roman"/>
          <w:b/>
          <w:kern w:val="2"/>
          <w:sz w:val="28"/>
          <w:szCs w:val="28"/>
          <w:lang w:val="en-US" w:eastAsia="zh-CN"/>
        </w:rPr>
        <w:t>制定标准的</w:t>
      </w:r>
      <w:r>
        <w:rPr>
          <w:rFonts w:hint="default" w:ascii="Times New Roman" w:hAnsi="Times New Roman" w:eastAsia="宋体" w:cs="Times New Roman"/>
          <w:b/>
          <w:kern w:val="2"/>
          <w:sz w:val="28"/>
          <w:szCs w:val="28"/>
          <w:lang w:val="en-US" w:eastAsia="zh-CN"/>
        </w:rPr>
        <w:t>必要性和意义</w:t>
      </w:r>
    </w:p>
    <w:p w14:paraId="4C44C88B">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全国中药材的省份中，我省是药材的主产区，位列全国第四，据统计共有约1788种，其中道地药材30多种，包括黄芪、党参、连翘、远志、柴胡、黄芩、酸枣仁、苦参、山楂、桃仁等，已经</w:t>
      </w:r>
      <w:r>
        <w:rPr>
          <w:rFonts w:hint="eastAsia" w:eastAsia="宋体" w:cs="Times New Roman"/>
          <w:b w:val="0"/>
          <w:bCs w:val="0"/>
          <w:sz w:val="24"/>
          <w:szCs w:val="24"/>
          <w:lang w:val="en-US" w:eastAsia="zh-CN"/>
        </w:rPr>
        <w:t>被鉴定为</w:t>
      </w:r>
      <w:r>
        <w:rPr>
          <w:rFonts w:hint="default" w:ascii="Times New Roman" w:hAnsi="Times New Roman" w:eastAsia="宋体" w:cs="Times New Roman"/>
          <w:b w:val="0"/>
          <w:bCs w:val="0"/>
          <w:sz w:val="24"/>
          <w:szCs w:val="24"/>
          <w:lang w:val="en-US" w:eastAsia="zh-CN"/>
        </w:rPr>
        <w:t>“十大晋药”中药材。随着人们保健意识加强， 这些中药材的需求量逐年加大，如何保障我省中药材产量对于推动山西特色药材产业发展具有重要的意义。</w:t>
      </w:r>
    </w:p>
    <w:p w14:paraId="35A91734">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远志是我省道地药材的重要组成部分，主要分布在新绛、闻喜、侯马、绛县等地，占全国产量的70%以上。由于生产周期长，很多病虫在种植地进行产卵，不断繁殖，对其种植工作造成了较大的影响，造成药材产量和质量降低，甚至绝收。我省</w:t>
      </w:r>
      <w:r>
        <w:rPr>
          <w:rFonts w:hint="eastAsia" w:ascii="Times New Roman" w:hAnsi="Times New Roman" w:eastAsia="宋体" w:cs="Times New Roman"/>
          <w:b w:val="0"/>
          <w:bCs w:val="0"/>
          <w:sz w:val="24"/>
          <w:szCs w:val="24"/>
          <w:lang w:val="en-US" w:eastAsia="zh-CN"/>
        </w:rPr>
        <w:t>远志</w:t>
      </w:r>
      <w:r>
        <w:rPr>
          <w:rFonts w:hint="default" w:ascii="Times New Roman" w:hAnsi="Times New Roman" w:eastAsia="宋体" w:cs="Times New Roman"/>
          <w:b w:val="0"/>
          <w:bCs w:val="0"/>
          <w:sz w:val="24"/>
          <w:szCs w:val="24"/>
          <w:lang w:val="en-US" w:eastAsia="zh-CN"/>
        </w:rPr>
        <w:t>田危害严重的病虫害有立枯病、根腐病、枯萎病、蛴螬、蝼蛄、金针虫、小地老虎、豆</w:t>
      </w:r>
      <w:r>
        <w:rPr>
          <w:rFonts w:hint="eastAsia" w:eastAsia="宋体" w:cs="Times New Roman"/>
          <w:b w:val="0"/>
          <w:bCs w:val="0"/>
          <w:sz w:val="24"/>
          <w:szCs w:val="24"/>
          <w:lang w:val="en-US" w:eastAsia="zh-CN"/>
        </w:rPr>
        <w:t>芜菁</w:t>
      </w:r>
      <w:r>
        <w:rPr>
          <w:rFonts w:hint="default" w:ascii="Times New Roman" w:hAnsi="Times New Roman" w:eastAsia="宋体" w:cs="Times New Roman"/>
          <w:b w:val="0"/>
          <w:bCs w:val="0"/>
          <w:sz w:val="24"/>
          <w:szCs w:val="24"/>
          <w:lang w:val="en-US" w:eastAsia="zh-CN"/>
        </w:rPr>
        <w:t>蚜虫和红蜘蛛等，</w:t>
      </w:r>
      <w:r>
        <w:rPr>
          <w:rFonts w:hint="eastAsia" w:eastAsia="宋体" w:cs="Times New Roman"/>
          <w:b w:val="0"/>
          <w:bCs w:val="0"/>
          <w:sz w:val="24"/>
          <w:szCs w:val="24"/>
          <w:lang w:val="en-US" w:eastAsia="zh-CN"/>
        </w:rPr>
        <w:t>防治</w:t>
      </w:r>
      <w:r>
        <w:rPr>
          <w:rFonts w:hint="default" w:ascii="Times New Roman" w:hAnsi="Times New Roman" w:eastAsia="宋体" w:cs="Times New Roman"/>
          <w:b w:val="0"/>
          <w:bCs w:val="0"/>
          <w:sz w:val="24"/>
          <w:szCs w:val="24"/>
          <w:lang w:val="en-US" w:eastAsia="zh-CN"/>
        </w:rPr>
        <w:t>难度大。目前，我省尚无</w:t>
      </w:r>
      <w:r>
        <w:rPr>
          <w:rFonts w:hint="eastAsia" w:ascii="Times New Roman" w:hAnsi="Times New Roman" w:eastAsia="宋体" w:cs="Times New Roman"/>
          <w:b w:val="0"/>
          <w:bCs w:val="0"/>
          <w:sz w:val="24"/>
          <w:szCs w:val="24"/>
          <w:lang w:val="en-US" w:eastAsia="zh-CN"/>
        </w:rPr>
        <w:t>远志</w:t>
      </w:r>
      <w:r>
        <w:rPr>
          <w:rFonts w:hint="default" w:ascii="Times New Roman" w:hAnsi="Times New Roman" w:eastAsia="宋体" w:cs="Times New Roman"/>
          <w:b w:val="0"/>
          <w:bCs w:val="0"/>
          <w:sz w:val="24"/>
          <w:szCs w:val="24"/>
          <w:lang w:val="en-US" w:eastAsia="zh-CN"/>
        </w:rPr>
        <w:t>主要病虫害的防治规程。为了规范种植，需要政府部门</w:t>
      </w:r>
      <w:r>
        <w:rPr>
          <w:rFonts w:hint="eastAsia" w:eastAsia="宋体" w:cs="Times New Roman"/>
          <w:b w:val="0"/>
          <w:bCs w:val="0"/>
          <w:sz w:val="24"/>
          <w:szCs w:val="24"/>
          <w:lang w:val="en-US" w:eastAsia="zh-CN"/>
        </w:rPr>
        <w:t>发布</w:t>
      </w:r>
      <w:r>
        <w:rPr>
          <w:rFonts w:hint="default" w:ascii="Times New Roman" w:hAnsi="Times New Roman" w:eastAsia="宋体" w:cs="Times New Roman"/>
          <w:b w:val="0"/>
          <w:bCs w:val="0"/>
          <w:sz w:val="24"/>
          <w:szCs w:val="24"/>
          <w:lang w:val="en-US" w:eastAsia="zh-CN"/>
        </w:rPr>
        <w:t>相关的标准文件。实现标准化管理，结合农业防治、物理防治和生物防治，建立科学的防控技术规程，制订有效的中药材病虫害防控技术是保证我省中药材产业良性发展的重要措施。</w:t>
      </w:r>
    </w:p>
    <w:p w14:paraId="0FFEF260">
      <w:pPr>
        <w:keepNext w:val="0"/>
        <w:keepLines w:val="0"/>
        <w:pageBreakBefore w:val="0"/>
        <w:widowControl w:val="0"/>
        <w:numPr>
          <w:ilvl w:val="0"/>
          <w:numId w:val="2"/>
        </w:numPr>
        <w:kinsoku/>
        <w:wordWrap/>
        <w:overflowPunct/>
        <w:topLinePunct w:val="0"/>
        <w:autoSpaceDE/>
        <w:autoSpaceDN/>
        <w:bidi w:val="0"/>
        <w:adjustRightInd w:val="0"/>
        <w:snapToGrid w:val="0"/>
        <w:spacing w:before="219" w:beforeLines="50" w:after="219" w:afterLines="50" w:line="240" w:lineRule="auto"/>
        <w:ind w:firstLine="0" w:firstLineChars="0"/>
        <w:textAlignment w:val="auto"/>
        <w:rPr>
          <w:rFonts w:hint="default" w:ascii="Times New Roman" w:hAnsi="Times New Roman" w:eastAsia="宋体" w:cs="Times New Roman"/>
          <w:b/>
          <w:kern w:val="2"/>
          <w:sz w:val="28"/>
          <w:szCs w:val="28"/>
          <w:lang w:val="en-US" w:eastAsia="zh-CN"/>
        </w:rPr>
      </w:pPr>
      <w:r>
        <w:rPr>
          <w:rFonts w:hint="eastAsia" w:ascii="Times New Roman" w:hAnsi="Times New Roman" w:eastAsia="宋体" w:cs="Times New Roman"/>
          <w:b/>
          <w:kern w:val="2"/>
          <w:sz w:val="28"/>
          <w:szCs w:val="28"/>
          <w:lang w:val="en-US" w:eastAsia="zh-CN"/>
        </w:rPr>
        <w:t>主要起草过程</w:t>
      </w:r>
    </w:p>
    <w:p w14:paraId="78E02484">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在标准的起草过程中，由山西农业大学成立了标准起草小组，由项目组长对项目组的成员进行科学合理分工，</w:t>
      </w:r>
      <w:r>
        <w:rPr>
          <w:rFonts w:hint="eastAsia" w:ascii="Times New Roman" w:hAnsi="Times New Roman" w:eastAsia="宋体" w:cs="Times New Roman"/>
          <w:b w:val="0"/>
          <w:bCs w:val="0"/>
          <w:sz w:val="24"/>
          <w:szCs w:val="24"/>
          <w:lang w:val="en-US" w:eastAsia="zh-CN"/>
        </w:rPr>
        <w:t>制定</w:t>
      </w:r>
      <w:r>
        <w:rPr>
          <w:rFonts w:hint="default" w:ascii="Times New Roman" w:hAnsi="Times New Roman" w:eastAsia="宋体" w:cs="Times New Roman"/>
          <w:b w:val="0"/>
          <w:bCs w:val="0"/>
          <w:sz w:val="24"/>
          <w:szCs w:val="24"/>
          <w:lang w:val="en-US" w:eastAsia="zh-CN"/>
        </w:rPr>
        <w:t>编制工作计划，明确工作步骤和各自的职责、权限，确定了标准制定过程中每个时间节点和考核内容，保证标准制定的质量和时效。</w:t>
      </w:r>
      <w:r>
        <w:rPr>
          <w:rFonts w:hint="eastAsia" w:ascii="Times New Roman" w:hAnsi="Times New Roman" w:eastAsia="宋体" w:cs="Times New Roman"/>
          <w:b w:val="0"/>
          <w:bCs w:val="0"/>
          <w:sz w:val="24"/>
          <w:szCs w:val="24"/>
          <w:lang w:val="en-US" w:eastAsia="zh-CN"/>
        </w:rPr>
        <w:t>并完成</w:t>
      </w:r>
      <w:r>
        <w:rPr>
          <w:rFonts w:hint="default" w:ascii="Times New Roman" w:hAnsi="Times New Roman" w:eastAsia="宋体" w:cs="Times New Roman"/>
          <w:b w:val="0"/>
          <w:bCs w:val="0"/>
          <w:sz w:val="24"/>
          <w:szCs w:val="24"/>
          <w:lang w:val="en-US" w:eastAsia="zh-CN"/>
        </w:rPr>
        <w:t>资料的收集、整理、起草和意见汇总工作。</w:t>
      </w:r>
      <w:r>
        <w:rPr>
          <w:rFonts w:hint="eastAsia" w:ascii="Times New Roman" w:hAnsi="Times New Roman" w:eastAsia="宋体" w:cs="Times New Roman"/>
          <w:b w:val="0"/>
          <w:bCs w:val="0"/>
          <w:sz w:val="24"/>
          <w:szCs w:val="24"/>
          <w:lang w:val="en-US" w:eastAsia="zh-CN"/>
        </w:rPr>
        <w:t>起草小组</w:t>
      </w:r>
      <w:r>
        <w:rPr>
          <w:rFonts w:hint="default" w:ascii="Times New Roman" w:hAnsi="Times New Roman" w:eastAsia="宋体" w:cs="Times New Roman"/>
          <w:b w:val="0"/>
          <w:bCs w:val="0"/>
          <w:sz w:val="24"/>
          <w:szCs w:val="24"/>
          <w:lang w:val="en-US" w:eastAsia="zh-CN"/>
        </w:rPr>
        <w:t>对标准文本起草格式和写作要求GB／T1.1－2020《标准化工作导则第1部分：标准化文件的结构和起草规则》进行了学习，为本规程的规范写作打下了基础；</w:t>
      </w:r>
      <w:r>
        <w:rPr>
          <w:rFonts w:hint="eastAsia" w:ascii="Times New Roman" w:hAnsi="Times New Roman" w:eastAsia="宋体" w:cs="Times New Roman"/>
          <w:b w:val="0"/>
          <w:bCs w:val="0"/>
          <w:sz w:val="24"/>
          <w:szCs w:val="24"/>
          <w:lang w:val="en-US" w:eastAsia="zh-CN"/>
        </w:rPr>
        <w:t>其次，</w:t>
      </w:r>
      <w:r>
        <w:rPr>
          <w:rFonts w:hint="default" w:ascii="Times New Roman" w:hAnsi="Times New Roman" w:eastAsia="宋体" w:cs="Times New Roman"/>
          <w:b w:val="0"/>
          <w:bCs w:val="0"/>
          <w:sz w:val="24"/>
          <w:szCs w:val="24"/>
          <w:lang w:val="en-US" w:eastAsia="zh-CN"/>
        </w:rPr>
        <w:t>学习了</w:t>
      </w:r>
      <w:r>
        <w:rPr>
          <w:rFonts w:hint="eastAsia" w:ascii="Times New Roman" w:hAnsi="Times New Roman" w:eastAsia="宋体" w:cs="Times New Roman"/>
          <w:b w:val="0"/>
          <w:bCs w:val="0"/>
          <w:sz w:val="24"/>
          <w:szCs w:val="24"/>
          <w:lang w:val="en-US" w:eastAsia="zh-CN"/>
        </w:rPr>
        <w:t>远志主要病虫害绿色防控技术规程</w:t>
      </w:r>
      <w:r>
        <w:rPr>
          <w:rFonts w:hint="default" w:ascii="Times New Roman" w:hAnsi="Times New Roman" w:eastAsia="宋体" w:cs="Times New Roman"/>
          <w:b w:val="0"/>
          <w:bCs w:val="0"/>
          <w:sz w:val="24"/>
          <w:szCs w:val="24"/>
          <w:lang w:val="en-US" w:eastAsia="zh-CN"/>
        </w:rPr>
        <w:t>和农药、肥料使用的相关国家标准、行业标准进行学习。</w:t>
      </w:r>
      <w:r>
        <w:rPr>
          <w:rFonts w:hint="eastAsia" w:ascii="Times New Roman" w:hAnsi="Times New Roman" w:eastAsia="宋体" w:cs="Times New Roman"/>
          <w:b w:val="0"/>
          <w:bCs w:val="0"/>
          <w:sz w:val="24"/>
          <w:szCs w:val="24"/>
          <w:lang w:val="en-US" w:eastAsia="zh-CN"/>
        </w:rPr>
        <w:t>总结了远志病虫害防控方面的相关研究结果。</w:t>
      </w:r>
    </w:p>
    <w:p w14:paraId="3C359539">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在着手起草标准文稿之前，起草工作组成员赴山西省运城市新绛县、山西晋中平遥县中药材远志种植基地</w:t>
      </w:r>
      <w:r>
        <w:rPr>
          <w:rFonts w:hint="eastAsia" w:ascii="Times New Roman" w:hAnsi="Times New Roman" w:eastAsia="宋体" w:cs="Times New Roman"/>
          <w:b w:val="0"/>
          <w:bCs w:val="0"/>
          <w:sz w:val="24"/>
          <w:szCs w:val="24"/>
          <w:lang w:val="en-US" w:eastAsia="zh-CN"/>
        </w:rPr>
        <w:t>、山西省汾阳市经作所中药材基地</w:t>
      </w:r>
      <w:r>
        <w:rPr>
          <w:rFonts w:hint="default" w:ascii="Times New Roman" w:hAnsi="Times New Roman" w:eastAsia="宋体" w:cs="Times New Roman"/>
          <w:b w:val="0"/>
          <w:bCs w:val="0"/>
          <w:sz w:val="24"/>
          <w:szCs w:val="24"/>
          <w:lang w:val="en-US" w:eastAsia="zh-CN"/>
        </w:rPr>
        <w:t>对</w:t>
      </w:r>
      <w:r>
        <w:rPr>
          <w:rFonts w:hint="eastAsia" w:ascii="Times New Roman" w:hAnsi="Times New Roman" w:eastAsia="宋体" w:cs="Times New Roman"/>
          <w:b w:val="0"/>
          <w:bCs w:val="0"/>
          <w:sz w:val="24"/>
          <w:szCs w:val="24"/>
          <w:lang w:val="en-US" w:eastAsia="zh-CN"/>
        </w:rPr>
        <w:t>远志</w:t>
      </w:r>
      <w:r>
        <w:rPr>
          <w:rFonts w:hint="default" w:ascii="Times New Roman" w:hAnsi="Times New Roman" w:eastAsia="宋体" w:cs="Times New Roman"/>
          <w:b w:val="0"/>
          <w:bCs w:val="0"/>
          <w:sz w:val="24"/>
          <w:szCs w:val="24"/>
          <w:lang w:val="en-US" w:eastAsia="zh-CN"/>
        </w:rPr>
        <w:t>病虫害发生防治情况进行了调研。通过调研，掌握了</w:t>
      </w:r>
      <w:r>
        <w:rPr>
          <w:rFonts w:hint="eastAsia" w:ascii="Times New Roman" w:hAnsi="Times New Roman" w:eastAsia="宋体" w:cs="Times New Roman"/>
          <w:b w:val="0"/>
          <w:bCs w:val="0"/>
          <w:sz w:val="24"/>
          <w:szCs w:val="24"/>
          <w:lang w:val="en-US" w:eastAsia="zh-CN"/>
        </w:rPr>
        <w:t>远志</w:t>
      </w:r>
      <w:r>
        <w:rPr>
          <w:rFonts w:hint="default" w:ascii="Times New Roman" w:hAnsi="Times New Roman" w:eastAsia="宋体" w:cs="Times New Roman"/>
          <w:b w:val="0"/>
          <w:bCs w:val="0"/>
          <w:sz w:val="24"/>
          <w:szCs w:val="24"/>
          <w:lang w:val="en-US" w:eastAsia="zh-CN"/>
        </w:rPr>
        <w:t>病虫害的发生现状、消长规律和未来趋势，了解了生产中</w:t>
      </w:r>
      <w:r>
        <w:rPr>
          <w:rFonts w:hint="eastAsia" w:ascii="Times New Roman" w:hAnsi="Times New Roman" w:eastAsia="宋体" w:cs="Times New Roman"/>
          <w:b w:val="0"/>
          <w:bCs w:val="0"/>
          <w:sz w:val="24"/>
          <w:szCs w:val="24"/>
          <w:lang w:val="en-US" w:eastAsia="zh-CN"/>
        </w:rPr>
        <w:t>远志</w:t>
      </w:r>
      <w:r>
        <w:rPr>
          <w:rFonts w:hint="default" w:ascii="Times New Roman" w:hAnsi="Times New Roman" w:eastAsia="宋体" w:cs="Times New Roman"/>
          <w:b w:val="0"/>
          <w:bCs w:val="0"/>
          <w:sz w:val="24"/>
          <w:szCs w:val="24"/>
          <w:lang w:val="en-US" w:eastAsia="zh-CN"/>
        </w:rPr>
        <w:t>病虫害较为普遍的防控方法和防控难点。与此同时，</w:t>
      </w:r>
      <w:r>
        <w:rPr>
          <w:rFonts w:hint="eastAsia" w:ascii="Times New Roman" w:hAnsi="Times New Roman" w:eastAsia="宋体" w:cs="Times New Roman"/>
          <w:b w:val="0"/>
          <w:bCs w:val="0"/>
          <w:sz w:val="24"/>
          <w:szCs w:val="24"/>
          <w:lang w:val="en-US" w:eastAsia="zh-CN"/>
        </w:rPr>
        <w:t>远志上尚无登记农药，结合其他道地药材</w:t>
      </w:r>
      <w:r>
        <w:rPr>
          <w:rFonts w:hint="default" w:ascii="Times New Roman" w:hAnsi="Times New Roman" w:eastAsia="宋体" w:cs="Times New Roman"/>
          <w:b w:val="0"/>
          <w:bCs w:val="0"/>
          <w:sz w:val="24"/>
          <w:szCs w:val="24"/>
          <w:lang w:val="en-US" w:eastAsia="zh-CN"/>
        </w:rPr>
        <w:t>农药登记信息，形成了“综合农业防治、生物防治、物理防治”的</w:t>
      </w:r>
      <w:r>
        <w:rPr>
          <w:rFonts w:hint="eastAsia" w:ascii="Times New Roman" w:hAnsi="Times New Roman" w:eastAsia="宋体" w:cs="Times New Roman"/>
          <w:b w:val="0"/>
          <w:bCs w:val="0"/>
          <w:sz w:val="24"/>
          <w:szCs w:val="24"/>
          <w:lang w:val="en-US" w:eastAsia="zh-CN"/>
        </w:rPr>
        <w:t>远志病虫害</w:t>
      </w:r>
      <w:r>
        <w:rPr>
          <w:rFonts w:hint="default" w:ascii="Times New Roman" w:hAnsi="Times New Roman" w:eastAsia="宋体" w:cs="Times New Roman"/>
          <w:b w:val="0"/>
          <w:bCs w:val="0"/>
          <w:sz w:val="24"/>
          <w:szCs w:val="24"/>
          <w:lang w:val="en-US" w:eastAsia="zh-CN"/>
        </w:rPr>
        <w:t>防控策略。通过广泛调研，取得了大量一手资料，确定了编写内容。</w:t>
      </w:r>
    </w:p>
    <w:p w14:paraId="745F6413">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202</w:t>
      </w:r>
      <w:r>
        <w:rPr>
          <w:rFonts w:hint="eastAsia" w:ascii="Times New Roman" w:hAnsi="Times New Roman" w:eastAsia="宋体" w:cs="Times New Roman"/>
          <w:b w:val="0"/>
          <w:bCs w:val="0"/>
          <w:sz w:val="24"/>
          <w:szCs w:val="24"/>
          <w:lang w:val="en-US" w:eastAsia="zh-CN"/>
        </w:rPr>
        <w:t>3</w:t>
      </w:r>
      <w:r>
        <w:rPr>
          <w:rFonts w:hint="default" w:ascii="Times New Roman" w:hAnsi="Times New Roman" w:eastAsia="宋体" w:cs="Times New Roman"/>
          <w:b w:val="0"/>
          <w:bCs w:val="0"/>
          <w:sz w:val="24"/>
          <w:szCs w:val="24"/>
          <w:lang w:val="en-US" w:eastAsia="zh-CN"/>
        </w:rPr>
        <w:t>年初，标准起草工作组按照标准的要求，对标准的框架和内容进行讨论，确定了标准《</w:t>
      </w:r>
      <w:r>
        <w:rPr>
          <w:rFonts w:hint="eastAsia" w:ascii="Times New Roman" w:hAnsi="Times New Roman" w:eastAsia="宋体" w:cs="Times New Roman"/>
          <w:b w:val="0"/>
          <w:bCs w:val="0"/>
          <w:sz w:val="24"/>
          <w:szCs w:val="24"/>
          <w:lang w:val="en-US" w:eastAsia="zh-CN"/>
        </w:rPr>
        <w:t>远志主要病虫害绿色防控技术规程</w:t>
      </w:r>
      <w:r>
        <w:rPr>
          <w:rFonts w:hint="default" w:ascii="Times New Roman" w:hAnsi="Times New Roman" w:eastAsia="宋体" w:cs="Times New Roman"/>
          <w:b w:val="0"/>
          <w:bCs w:val="0"/>
          <w:sz w:val="24"/>
          <w:szCs w:val="24"/>
          <w:lang w:val="en-US" w:eastAsia="zh-CN"/>
        </w:rPr>
        <w:t>》编写大纲。</w:t>
      </w:r>
    </w:p>
    <w:p w14:paraId="2C341CB4">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202</w:t>
      </w:r>
      <w:r>
        <w:rPr>
          <w:rFonts w:hint="eastAsia" w:ascii="Times New Roman" w:hAnsi="Times New Roman" w:eastAsia="宋体" w:cs="Times New Roman"/>
          <w:b w:val="0"/>
          <w:bCs w:val="0"/>
          <w:sz w:val="24"/>
          <w:szCs w:val="24"/>
          <w:lang w:val="en-US" w:eastAsia="zh-CN"/>
        </w:rPr>
        <w:t>3</w:t>
      </w:r>
      <w:r>
        <w:rPr>
          <w:rFonts w:hint="default" w:ascii="Times New Roman" w:hAnsi="Times New Roman" w:eastAsia="宋体" w:cs="Times New Roman"/>
          <w:b w:val="0"/>
          <w:bCs w:val="0"/>
          <w:sz w:val="24"/>
          <w:szCs w:val="24"/>
          <w:lang w:val="en-US" w:eastAsia="zh-CN"/>
        </w:rPr>
        <w:t>年</w:t>
      </w:r>
      <w:r>
        <w:rPr>
          <w:rFonts w:hint="eastAsia" w:ascii="Times New Roman" w:hAnsi="Times New Roman" w:eastAsia="宋体" w:cs="Times New Roman"/>
          <w:b w:val="0"/>
          <w:bCs w:val="0"/>
          <w:sz w:val="24"/>
          <w:szCs w:val="24"/>
          <w:lang w:val="en-US" w:eastAsia="zh-CN"/>
        </w:rPr>
        <w:t>4</w:t>
      </w:r>
      <w:r>
        <w:rPr>
          <w:rFonts w:hint="default" w:ascii="Times New Roman" w:hAnsi="Times New Roman" w:eastAsia="宋体" w:cs="Times New Roman"/>
          <w:b w:val="0"/>
          <w:bCs w:val="0"/>
          <w:sz w:val="24"/>
          <w:szCs w:val="24"/>
          <w:lang w:val="en-US" w:eastAsia="zh-CN"/>
        </w:rPr>
        <w:t>月，标准起草工作组进行《</w:t>
      </w:r>
      <w:r>
        <w:rPr>
          <w:rFonts w:hint="eastAsia" w:ascii="Times New Roman" w:hAnsi="Times New Roman" w:eastAsia="宋体" w:cs="Times New Roman"/>
          <w:b w:val="0"/>
          <w:bCs w:val="0"/>
          <w:sz w:val="24"/>
          <w:szCs w:val="24"/>
          <w:lang w:val="en-US" w:eastAsia="zh-CN"/>
        </w:rPr>
        <w:t>远志主要病虫害绿色防控技术规程</w:t>
      </w:r>
      <w:r>
        <w:rPr>
          <w:rFonts w:hint="default" w:ascii="Times New Roman" w:hAnsi="Times New Roman" w:eastAsia="宋体" w:cs="Times New Roman"/>
          <w:b w:val="0"/>
          <w:bCs w:val="0"/>
          <w:sz w:val="24"/>
          <w:szCs w:val="24"/>
          <w:lang w:val="en-US" w:eastAsia="zh-CN"/>
        </w:rPr>
        <w:t>》文本编写草稿、标准申报工作。</w:t>
      </w:r>
    </w:p>
    <w:p w14:paraId="4E697F2A">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202</w:t>
      </w:r>
      <w:r>
        <w:rPr>
          <w:rFonts w:hint="eastAsia" w:ascii="Times New Roman" w:hAnsi="Times New Roman" w:eastAsia="宋体" w:cs="Times New Roman"/>
          <w:b w:val="0"/>
          <w:bCs w:val="0"/>
          <w:sz w:val="24"/>
          <w:szCs w:val="24"/>
          <w:lang w:val="en-US" w:eastAsia="zh-CN"/>
        </w:rPr>
        <w:t>3</w:t>
      </w:r>
      <w:r>
        <w:rPr>
          <w:rFonts w:hint="default" w:ascii="Times New Roman" w:hAnsi="Times New Roman" w:eastAsia="宋体" w:cs="Times New Roman"/>
          <w:b w:val="0"/>
          <w:bCs w:val="0"/>
          <w:sz w:val="24"/>
          <w:szCs w:val="24"/>
          <w:lang w:val="en-US" w:eastAsia="zh-CN"/>
        </w:rPr>
        <w:t>年</w:t>
      </w:r>
      <w:r>
        <w:rPr>
          <w:rFonts w:hint="eastAsia" w:ascii="Times New Roman" w:hAnsi="Times New Roman" w:eastAsia="宋体" w:cs="Times New Roman"/>
          <w:b w:val="0"/>
          <w:bCs w:val="0"/>
          <w:sz w:val="24"/>
          <w:szCs w:val="24"/>
          <w:lang w:val="en-US" w:eastAsia="zh-CN"/>
        </w:rPr>
        <w:t>11月</w:t>
      </w:r>
      <w:r>
        <w:rPr>
          <w:rFonts w:hint="eastAsia" w:eastAsia="宋体" w:cs="Times New Roman"/>
          <w:b w:val="0"/>
          <w:bCs w:val="0"/>
          <w:sz w:val="24"/>
          <w:szCs w:val="24"/>
          <w:lang w:val="en-US" w:eastAsia="zh-CN"/>
        </w:rPr>
        <w:t>15日</w:t>
      </w:r>
      <w:r>
        <w:rPr>
          <w:rFonts w:hint="eastAsia" w:ascii="Times New Roman" w:hAnsi="Times New Roman" w:eastAsia="宋体" w:cs="Times New Roman"/>
          <w:b w:val="0"/>
          <w:bCs w:val="0"/>
          <w:sz w:val="24"/>
          <w:szCs w:val="24"/>
          <w:lang w:val="en-US" w:eastAsia="zh-CN"/>
        </w:rPr>
        <w:t>，</w:t>
      </w:r>
      <w:r>
        <w:rPr>
          <w:rFonts w:hint="default" w:ascii="Times New Roman" w:hAnsi="Times New Roman" w:eastAsia="宋体" w:cs="Times New Roman"/>
          <w:b w:val="0"/>
          <w:bCs w:val="0"/>
          <w:sz w:val="24"/>
          <w:szCs w:val="24"/>
          <w:lang w:val="en-US" w:eastAsia="zh-CN"/>
        </w:rPr>
        <w:t>《</w:t>
      </w:r>
      <w:r>
        <w:rPr>
          <w:rFonts w:hint="eastAsia" w:ascii="Times New Roman" w:hAnsi="Times New Roman" w:eastAsia="宋体" w:cs="Times New Roman"/>
          <w:b w:val="0"/>
          <w:bCs w:val="0"/>
          <w:sz w:val="24"/>
          <w:szCs w:val="24"/>
          <w:lang w:val="en-US" w:eastAsia="zh-CN"/>
        </w:rPr>
        <w:t>远志主要病虫害绿色防控技术规程</w:t>
      </w:r>
      <w:r>
        <w:rPr>
          <w:rFonts w:hint="default" w:ascii="Times New Roman" w:hAnsi="Times New Roman" w:eastAsia="宋体" w:cs="Times New Roman"/>
          <w:b w:val="0"/>
          <w:bCs w:val="0"/>
          <w:sz w:val="24"/>
          <w:szCs w:val="24"/>
          <w:lang w:val="en-US" w:eastAsia="zh-CN"/>
        </w:rPr>
        <w:t>》山西省市场监督管理局《关于下达202</w:t>
      </w:r>
      <w:r>
        <w:rPr>
          <w:rFonts w:hint="eastAsia" w:ascii="Times New Roman" w:hAnsi="Times New Roman" w:eastAsia="宋体" w:cs="Times New Roman"/>
          <w:b w:val="0"/>
          <w:bCs w:val="0"/>
          <w:sz w:val="24"/>
          <w:szCs w:val="24"/>
          <w:lang w:val="en-US" w:eastAsia="zh-CN"/>
        </w:rPr>
        <w:t>3</w:t>
      </w:r>
      <w:r>
        <w:rPr>
          <w:rFonts w:hint="default" w:ascii="Times New Roman" w:hAnsi="Times New Roman" w:eastAsia="宋体" w:cs="Times New Roman"/>
          <w:b w:val="0"/>
          <w:bCs w:val="0"/>
          <w:sz w:val="24"/>
          <w:szCs w:val="24"/>
          <w:lang w:val="en-US" w:eastAsia="zh-CN"/>
        </w:rPr>
        <w:t>年度第七批山西省地方标准制修订项目计划的通知》(晋市监</w:t>
      </w:r>
      <w:r>
        <w:rPr>
          <w:rFonts w:hint="eastAsia" w:ascii="Times New Roman" w:hAnsi="Times New Roman" w:eastAsia="宋体" w:cs="Times New Roman"/>
          <w:b w:val="0"/>
          <w:bCs w:val="0"/>
          <w:sz w:val="24"/>
          <w:szCs w:val="24"/>
          <w:lang w:val="en-US" w:eastAsia="zh-CN"/>
        </w:rPr>
        <w:t>函</w:t>
      </w:r>
      <w:r>
        <w:rPr>
          <w:rFonts w:hint="default" w:ascii="Times New Roman" w:hAnsi="Times New Roman" w:eastAsia="宋体" w:cs="Times New Roman"/>
          <w:b w:val="0"/>
          <w:bCs w:val="0"/>
          <w:sz w:val="24"/>
          <w:szCs w:val="24"/>
          <w:lang w:val="en-US" w:eastAsia="zh-CN"/>
        </w:rPr>
        <w:t>(202</w:t>
      </w:r>
      <w:r>
        <w:rPr>
          <w:rFonts w:hint="eastAsia" w:ascii="Times New Roman" w:hAnsi="Times New Roman" w:eastAsia="宋体" w:cs="Times New Roman"/>
          <w:b w:val="0"/>
          <w:bCs w:val="0"/>
          <w:sz w:val="24"/>
          <w:szCs w:val="24"/>
          <w:lang w:val="en-US" w:eastAsia="zh-CN"/>
        </w:rPr>
        <w:t>3</w:t>
      </w:r>
      <w:r>
        <w:rPr>
          <w:rFonts w:hint="default" w:ascii="Times New Roman" w:hAnsi="Times New Roman" w:eastAsia="宋体" w:cs="Times New Roman"/>
          <w:b w:val="0"/>
          <w:bCs w:val="0"/>
          <w:sz w:val="24"/>
          <w:szCs w:val="24"/>
          <w:lang w:val="en-US" w:eastAsia="zh-CN"/>
        </w:rPr>
        <w:t>)</w:t>
      </w:r>
      <w:r>
        <w:rPr>
          <w:rFonts w:hint="eastAsia" w:ascii="Times New Roman" w:hAnsi="Times New Roman" w:eastAsia="宋体" w:cs="Times New Roman"/>
          <w:b w:val="0"/>
          <w:bCs w:val="0"/>
          <w:sz w:val="24"/>
          <w:szCs w:val="24"/>
          <w:lang w:val="en-US" w:eastAsia="zh-CN"/>
        </w:rPr>
        <w:t>351</w:t>
      </w:r>
      <w:r>
        <w:rPr>
          <w:rFonts w:hint="default" w:ascii="Times New Roman" w:hAnsi="Times New Roman" w:eastAsia="宋体" w:cs="Times New Roman"/>
          <w:b w:val="0"/>
          <w:bCs w:val="0"/>
          <w:sz w:val="24"/>
          <w:szCs w:val="24"/>
          <w:lang w:val="en-US" w:eastAsia="zh-CN"/>
        </w:rPr>
        <w:t>号)列入制定计划。</w:t>
      </w:r>
    </w:p>
    <w:p w14:paraId="35D4B7AA">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202</w:t>
      </w:r>
      <w:r>
        <w:rPr>
          <w:rFonts w:hint="eastAsia" w:eastAsia="宋体" w:cs="Times New Roman"/>
          <w:b w:val="0"/>
          <w:bCs w:val="0"/>
          <w:sz w:val="24"/>
          <w:szCs w:val="24"/>
          <w:lang w:val="en-US" w:eastAsia="zh-CN"/>
        </w:rPr>
        <w:t>4</w:t>
      </w:r>
      <w:r>
        <w:rPr>
          <w:rFonts w:hint="default" w:ascii="Times New Roman" w:hAnsi="Times New Roman" w:eastAsia="宋体" w:cs="Times New Roman"/>
          <w:b w:val="0"/>
          <w:bCs w:val="0"/>
          <w:sz w:val="24"/>
          <w:szCs w:val="24"/>
          <w:lang w:val="en-US" w:eastAsia="zh-CN"/>
        </w:rPr>
        <w:t>年</w:t>
      </w:r>
      <w:r>
        <w:rPr>
          <w:rFonts w:hint="eastAsia" w:eastAsia="宋体" w:cs="Times New Roman"/>
          <w:b w:val="0"/>
          <w:bCs w:val="0"/>
          <w:sz w:val="24"/>
          <w:szCs w:val="24"/>
          <w:lang w:val="en-US" w:eastAsia="zh-CN"/>
        </w:rPr>
        <w:t>10月16日，</w:t>
      </w:r>
      <w:r>
        <w:rPr>
          <w:rFonts w:hint="default" w:ascii="Times New Roman" w:hAnsi="Times New Roman" w:eastAsia="宋体" w:cs="Times New Roman"/>
          <w:b w:val="0"/>
          <w:bCs w:val="0"/>
          <w:sz w:val="24"/>
          <w:szCs w:val="24"/>
          <w:lang w:val="en-US" w:eastAsia="zh-CN"/>
        </w:rPr>
        <w:t>由</w:t>
      </w:r>
      <w:r>
        <w:rPr>
          <w:rFonts w:hint="eastAsia" w:ascii="Times New Roman" w:hAnsi="Times New Roman" w:eastAsia="宋体" w:cs="Times New Roman"/>
          <w:b w:val="0"/>
          <w:bCs w:val="0"/>
          <w:sz w:val="24"/>
          <w:szCs w:val="24"/>
          <w:lang w:val="en-US" w:eastAsia="zh-CN"/>
        </w:rPr>
        <w:t>山西省</w:t>
      </w:r>
      <w:r>
        <w:rPr>
          <w:rFonts w:hint="default" w:ascii="Times New Roman" w:hAnsi="Times New Roman" w:eastAsia="宋体" w:cs="Times New Roman"/>
          <w:b w:val="0"/>
          <w:bCs w:val="0"/>
          <w:sz w:val="24"/>
          <w:szCs w:val="24"/>
          <w:lang w:val="en-US" w:eastAsia="zh-CN"/>
        </w:rPr>
        <w:t>农业农村</w:t>
      </w:r>
      <w:r>
        <w:rPr>
          <w:rFonts w:hint="eastAsia" w:ascii="Times New Roman" w:hAnsi="Times New Roman" w:eastAsia="宋体" w:cs="Times New Roman"/>
          <w:b w:val="0"/>
          <w:bCs w:val="0"/>
          <w:sz w:val="24"/>
          <w:szCs w:val="24"/>
          <w:lang w:val="en-US" w:eastAsia="zh-CN"/>
        </w:rPr>
        <w:t>厅</w:t>
      </w:r>
      <w:r>
        <w:rPr>
          <w:rFonts w:hint="default" w:ascii="Times New Roman" w:hAnsi="Times New Roman" w:eastAsia="宋体" w:cs="Times New Roman"/>
          <w:b w:val="0"/>
          <w:bCs w:val="0"/>
          <w:sz w:val="24"/>
          <w:szCs w:val="24"/>
          <w:lang w:val="en-US" w:eastAsia="zh-CN"/>
        </w:rPr>
        <w:t>组织召开了初审会</w:t>
      </w:r>
      <w:r>
        <w:rPr>
          <w:rFonts w:hint="eastAsia" w:ascii="Times New Roman" w:hAnsi="Times New Roman" w:eastAsia="宋体" w:cs="Times New Roman"/>
          <w:b w:val="0"/>
          <w:bCs w:val="0"/>
          <w:sz w:val="24"/>
          <w:szCs w:val="24"/>
          <w:lang w:val="en-US" w:eastAsia="zh-CN"/>
        </w:rPr>
        <w:t>，与会专家对标准和编制说明的内容和格式提出了建议</w:t>
      </w:r>
      <w:r>
        <w:rPr>
          <w:rFonts w:hint="default" w:ascii="Times New Roman" w:hAnsi="Times New Roman" w:eastAsia="宋体" w:cs="Times New Roman"/>
          <w:b w:val="0"/>
          <w:bCs w:val="0"/>
          <w:sz w:val="24"/>
          <w:szCs w:val="24"/>
          <w:lang w:val="en-US" w:eastAsia="zh-CN"/>
        </w:rPr>
        <w:t>。</w:t>
      </w:r>
    </w:p>
    <w:p w14:paraId="3CDC5D49">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202</w:t>
      </w:r>
      <w:r>
        <w:rPr>
          <w:rFonts w:hint="eastAsia" w:ascii="Times New Roman" w:hAnsi="Times New Roman" w:eastAsia="宋体" w:cs="Times New Roman"/>
          <w:b w:val="0"/>
          <w:bCs w:val="0"/>
          <w:sz w:val="24"/>
          <w:szCs w:val="24"/>
          <w:lang w:val="en-US" w:eastAsia="zh-CN"/>
        </w:rPr>
        <w:t>4</w:t>
      </w:r>
      <w:r>
        <w:rPr>
          <w:rFonts w:hint="default" w:ascii="Times New Roman" w:hAnsi="Times New Roman" w:eastAsia="宋体" w:cs="Times New Roman"/>
          <w:b w:val="0"/>
          <w:bCs w:val="0"/>
          <w:sz w:val="24"/>
          <w:szCs w:val="24"/>
          <w:lang w:val="en-US" w:eastAsia="zh-CN"/>
        </w:rPr>
        <w:t>年</w:t>
      </w:r>
      <w:r>
        <w:rPr>
          <w:rFonts w:hint="eastAsia" w:ascii="Times New Roman" w:hAnsi="Times New Roman" w:eastAsia="宋体" w:cs="Times New Roman"/>
          <w:b w:val="0"/>
          <w:bCs w:val="0"/>
          <w:sz w:val="24"/>
          <w:szCs w:val="24"/>
          <w:lang w:val="en-US" w:eastAsia="zh-CN"/>
        </w:rPr>
        <w:t>10</w:t>
      </w:r>
      <w:r>
        <w:rPr>
          <w:rFonts w:hint="default" w:ascii="Times New Roman" w:hAnsi="Times New Roman" w:eastAsia="宋体" w:cs="Times New Roman"/>
          <w:b w:val="0"/>
          <w:bCs w:val="0"/>
          <w:sz w:val="24"/>
          <w:szCs w:val="24"/>
          <w:lang w:val="en-US" w:eastAsia="zh-CN"/>
        </w:rPr>
        <w:t>月</w:t>
      </w:r>
      <w:r>
        <w:rPr>
          <w:rFonts w:hint="eastAsia" w:ascii="Times New Roman" w:hAnsi="Times New Roman" w:eastAsia="宋体" w:cs="Times New Roman"/>
          <w:b w:val="0"/>
          <w:bCs w:val="0"/>
          <w:sz w:val="24"/>
          <w:szCs w:val="24"/>
          <w:lang w:val="en-US" w:eastAsia="zh-CN"/>
        </w:rPr>
        <w:t>28日</w:t>
      </w:r>
      <w:r>
        <w:rPr>
          <w:rFonts w:hint="default" w:ascii="Times New Roman" w:hAnsi="Times New Roman" w:eastAsia="宋体" w:cs="Times New Roman"/>
          <w:b w:val="0"/>
          <w:bCs w:val="0"/>
          <w:sz w:val="24"/>
          <w:szCs w:val="24"/>
          <w:lang w:val="en-US" w:eastAsia="zh-CN"/>
        </w:rPr>
        <w:t>，</w:t>
      </w:r>
      <w:r>
        <w:rPr>
          <w:rFonts w:hint="eastAsia" w:ascii="Times New Roman" w:hAnsi="Times New Roman" w:eastAsia="宋体" w:cs="Times New Roman"/>
          <w:b w:val="0"/>
          <w:bCs w:val="0"/>
          <w:sz w:val="24"/>
          <w:szCs w:val="24"/>
          <w:lang w:val="en-US" w:eastAsia="zh-CN"/>
        </w:rPr>
        <w:t>根据初审专家的建议将标准进行</w:t>
      </w:r>
      <w:r>
        <w:rPr>
          <w:rFonts w:hint="default" w:ascii="Times New Roman" w:hAnsi="Times New Roman" w:eastAsia="宋体" w:cs="Times New Roman"/>
          <w:b w:val="0"/>
          <w:bCs w:val="0"/>
          <w:sz w:val="24"/>
          <w:szCs w:val="24"/>
          <w:lang w:val="en-US" w:eastAsia="zh-CN"/>
        </w:rPr>
        <w:t>梳理</w:t>
      </w:r>
      <w:r>
        <w:rPr>
          <w:rFonts w:hint="eastAsia" w:ascii="Times New Roman" w:hAnsi="Times New Roman" w:eastAsia="宋体" w:cs="Times New Roman"/>
          <w:b w:val="0"/>
          <w:bCs w:val="0"/>
          <w:sz w:val="24"/>
          <w:szCs w:val="24"/>
          <w:lang w:val="en-US" w:eastAsia="zh-CN"/>
        </w:rPr>
        <w:t>和</w:t>
      </w:r>
      <w:r>
        <w:rPr>
          <w:rFonts w:hint="default" w:ascii="Times New Roman" w:hAnsi="Times New Roman" w:eastAsia="宋体" w:cs="Times New Roman"/>
          <w:b w:val="0"/>
          <w:bCs w:val="0"/>
          <w:sz w:val="24"/>
          <w:szCs w:val="24"/>
          <w:lang w:val="en-US" w:eastAsia="zh-CN"/>
        </w:rPr>
        <w:t>修改</w:t>
      </w:r>
      <w:r>
        <w:rPr>
          <w:rFonts w:hint="eastAsia" w:ascii="Times New Roman" w:hAnsi="Times New Roman" w:eastAsia="宋体" w:cs="Times New Roman"/>
          <w:b w:val="0"/>
          <w:bCs w:val="0"/>
          <w:sz w:val="24"/>
          <w:szCs w:val="24"/>
          <w:lang w:val="en-US" w:eastAsia="zh-CN"/>
        </w:rPr>
        <w:t>，</w:t>
      </w:r>
      <w:r>
        <w:rPr>
          <w:rFonts w:hint="default" w:ascii="Times New Roman" w:hAnsi="Times New Roman" w:eastAsia="宋体" w:cs="Times New Roman"/>
          <w:b w:val="0"/>
          <w:bCs w:val="0"/>
          <w:sz w:val="24"/>
          <w:szCs w:val="24"/>
          <w:lang w:val="en-US" w:eastAsia="zh-CN"/>
        </w:rPr>
        <w:t>根据专家</w:t>
      </w:r>
      <w:r>
        <w:rPr>
          <w:rFonts w:hint="eastAsia" w:ascii="Times New Roman" w:hAnsi="Times New Roman" w:eastAsia="宋体" w:cs="Times New Roman"/>
          <w:b w:val="0"/>
          <w:bCs w:val="0"/>
          <w:sz w:val="24"/>
          <w:szCs w:val="24"/>
          <w:lang w:val="en-US" w:eastAsia="zh-CN"/>
        </w:rPr>
        <w:t>建议</w:t>
      </w:r>
      <w:r>
        <w:rPr>
          <w:rFonts w:hint="default" w:ascii="Times New Roman" w:hAnsi="Times New Roman" w:eastAsia="宋体" w:cs="Times New Roman"/>
          <w:b w:val="0"/>
          <w:bCs w:val="0"/>
          <w:sz w:val="24"/>
          <w:szCs w:val="24"/>
          <w:lang w:val="en-US" w:eastAsia="zh-CN"/>
        </w:rPr>
        <w:t>标准起草工作组</w:t>
      </w:r>
      <w:r>
        <w:rPr>
          <w:rFonts w:hint="eastAsia" w:ascii="Times New Roman" w:hAnsi="Times New Roman" w:eastAsia="宋体" w:cs="Times New Roman"/>
          <w:b w:val="0"/>
          <w:bCs w:val="0"/>
          <w:sz w:val="24"/>
          <w:szCs w:val="24"/>
          <w:lang w:val="en-US" w:eastAsia="zh-CN"/>
        </w:rPr>
        <w:t>将标准修改完善形成</w:t>
      </w:r>
      <w:r>
        <w:rPr>
          <w:rFonts w:hint="default" w:ascii="Times New Roman" w:hAnsi="Times New Roman" w:eastAsia="宋体" w:cs="Times New Roman"/>
          <w:b w:val="0"/>
          <w:bCs w:val="0"/>
          <w:sz w:val="24"/>
          <w:szCs w:val="24"/>
          <w:lang w:val="en-US" w:eastAsia="zh-CN"/>
        </w:rPr>
        <w:t>了</w:t>
      </w:r>
      <w:r>
        <w:rPr>
          <w:rFonts w:hint="eastAsia" w:ascii="Times New Roman" w:hAnsi="Times New Roman" w:eastAsia="宋体" w:cs="Times New Roman"/>
          <w:b w:val="0"/>
          <w:bCs w:val="0"/>
          <w:sz w:val="24"/>
          <w:szCs w:val="24"/>
          <w:lang w:val="en-US" w:eastAsia="zh-CN"/>
        </w:rPr>
        <w:t>征求意见</w:t>
      </w:r>
      <w:r>
        <w:rPr>
          <w:rFonts w:hint="default" w:ascii="Times New Roman" w:hAnsi="Times New Roman" w:eastAsia="宋体" w:cs="Times New Roman"/>
          <w:b w:val="0"/>
          <w:bCs w:val="0"/>
          <w:sz w:val="24"/>
          <w:szCs w:val="24"/>
          <w:lang w:val="en-US" w:eastAsia="zh-CN"/>
        </w:rPr>
        <w:t>稿。</w:t>
      </w:r>
    </w:p>
    <w:p w14:paraId="1F17B5DC">
      <w:pPr>
        <w:keepNext w:val="0"/>
        <w:keepLines w:val="0"/>
        <w:pageBreakBefore w:val="0"/>
        <w:widowControl w:val="0"/>
        <w:numPr>
          <w:ilvl w:val="0"/>
          <w:numId w:val="2"/>
        </w:numPr>
        <w:kinsoku/>
        <w:wordWrap/>
        <w:overflowPunct/>
        <w:topLinePunct w:val="0"/>
        <w:autoSpaceDE/>
        <w:autoSpaceDN/>
        <w:bidi w:val="0"/>
        <w:adjustRightInd w:val="0"/>
        <w:snapToGrid w:val="0"/>
        <w:spacing w:before="219" w:beforeLines="50" w:after="219" w:afterLines="50" w:line="240" w:lineRule="auto"/>
        <w:ind w:firstLine="0" w:firstLineChars="0"/>
        <w:textAlignment w:val="auto"/>
        <w:rPr>
          <w:rFonts w:hint="default" w:ascii="Times New Roman" w:hAnsi="Times New Roman" w:eastAsia="宋体" w:cs="Times New Roman"/>
          <w:b/>
          <w:kern w:val="2"/>
          <w:sz w:val="28"/>
          <w:szCs w:val="28"/>
          <w:lang w:val="en-US" w:eastAsia="zh-CN"/>
        </w:rPr>
      </w:pPr>
      <w:r>
        <w:rPr>
          <w:rFonts w:hint="eastAsia" w:ascii="Times New Roman" w:hAnsi="Times New Roman" w:eastAsia="宋体" w:cs="Times New Roman"/>
          <w:b/>
          <w:kern w:val="2"/>
          <w:sz w:val="28"/>
          <w:szCs w:val="28"/>
          <w:lang w:val="en-US" w:eastAsia="zh-CN"/>
        </w:rPr>
        <w:t>制定标准的原则和依据</w:t>
      </w:r>
    </w:p>
    <w:p w14:paraId="02457555">
      <w:pPr>
        <w:pStyle w:val="22"/>
        <w:keepNext w:val="0"/>
        <w:keepLines w:val="0"/>
        <w:pageBreakBefore w:val="0"/>
        <w:widowControl/>
        <w:numPr>
          <w:ilvl w:val="0"/>
          <w:numId w:val="4"/>
        </w:numPr>
        <w:kinsoku/>
        <w:wordWrap/>
        <w:overflowPunct/>
        <w:topLinePunct w:val="0"/>
        <w:autoSpaceDE w:val="0"/>
        <w:autoSpaceDN w:val="0"/>
        <w:bidi w:val="0"/>
        <w:adjustRightInd/>
        <w:snapToGrid/>
        <w:spacing w:before="219" w:beforeLines="50" w:line="240" w:lineRule="auto"/>
        <w:ind w:leftChars="0"/>
        <w:textAlignment w:val="auto"/>
        <w:rPr>
          <w:rFonts w:hint="default" w:ascii="Times New Roman" w:hAnsi="Times New Roman" w:eastAsia="宋体" w:cs="Times New Roman"/>
          <w:b/>
          <w:bCs/>
          <w:color w:val="000000"/>
          <w:kern w:val="2"/>
          <w:sz w:val="24"/>
          <w:szCs w:val="24"/>
        </w:rPr>
      </w:pPr>
      <w:r>
        <w:rPr>
          <w:rFonts w:hint="default" w:ascii="Times New Roman" w:hAnsi="Times New Roman" w:eastAsia="宋体" w:cs="Times New Roman"/>
          <w:b/>
          <w:bCs/>
          <w:color w:val="000000"/>
          <w:kern w:val="2"/>
          <w:sz w:val="24"/>
          <w:szCs w:val="24"/>
        </w:rPr>
        <w:t>科学性原则</w:t>
      </w:r>
    </w:p>
    <w:p w14:paraId="2FF56B94">
      <w:pPr>
        <w:adjustRightInd w:val="0"/>
        <w:snapToGrid w:val="0"/>
        <w:spacing w:line="58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本标准编制说明是在查阅了大量的国内相关资料和权威书籍，并参照了国家、行业和地方的</w:t>
      </w:r>
      <w:r>
        <w:rPr>
          <w:rFonts w:hint="eastAsia" w:ascii="Times New Roman" w:hAnsi="Times New Roman" w:eastAsia="宋体" w:cs="Times New Roman"/>
          <w:sz w:val="24"/>
          <w:szCs w:val="24"/>
          <w:lang w:eastAsia="zh-CN"/>
        </w:rPr>
        <w:t>远志</w:t>
      </w:r>
      <w:r>
        <w:rPr>
          <w:rFonts w:hint="default" w:ascii="Times New Roman" w:hAnsi="Times New Roman" w:eastAsia="宋体" w:cs="Times New Roman"/>
          <w:sz w:val="24"/>
          <w:szCs w:val="24"/>
        </w:rPr>
        <w:t>生产技术和</w:t>
      </w:r>
      <w:r>
        <w:rPr>
          <w:rFonts w:hint="eastAsia" w:ascii="Times New Roman" w:hAnsi="Times New Roman" w:eastAsia="宋体" w:cs="Times New Roman"/>
          <w:sz w:val="24"/>
          <w:szCs w:val="24"/>
          <w:lang w:eastAsia="zh-CN"/>
        </w:rPr>
        <w:t>防控</w:t>
      </w:r>
      <w:r>
        <w:rPr>
          <w:rFonts w:hint="default" w:ascii="Times New Roman" w:hAnsi="Times New Roman" w:eastAsia="宋体" w:cs="Times New Roman"/>
          <w:sz w:val="24"/>
          <w:szCs w:val="24"/>
        </w:rPr>
        <w:t>相关标准的基础上开展的。标准严格执行《标准化工作导则第1部分：</w:t>
      </w:r>
      <w:r>
        <w:rPr>
          <w:rFonts w:hint="default" w:ascii="Times New Roman" w:hAnsi="Times New Roman" w:eastAsia="宋体" w:cs="Times New Roman"/>
          <w:b w:val="0"/>
          <w:bCs w:val="0"/>
          <w:sz w:val="24"/>
          <w:szCs w:val="24"/>
          <w:lang w:val="en-US" w:eastAsia="zh-CN"/>
        </w:rPr>
        <w:t>标准化文件的结构和起草规则</w:t>
      </w:r>
      <w:r>
        <w:rPr>
          <w:rFonts w:hint="default" w:ascii="Times New Roman" w:hAnsi="Times New Roman" w:eastAsia="宋体" w:cs="Times New Roman"/>
          <w:sz w:val="24"/>
          <w:szCs w:val="24"/>
        </w:rPr>
        <w:t>》（GB/T 1.1-2020）、《标准编写规则第1部分：术语》（GB/T2001.1-2001）、《标准化工作导则第2部分：以ISO/IEC标准化文件为基础的标准化文件起草规则》（GB/T1.2-2000）、《标准编写规则第2部分：符号》（GB/T 2001.2-2001）等有关标准编写方面的规定。</w:t>
      </w:r>
    </w:p>
    <w:p w14:paraId="3B856EC3">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标准制定团队拥有农业农村部农产品质量安全风险评估实验室（太原）、农业农村部认定的登记农药试验单位、全国名特优新农产品营养品质评价鉴定机构等平台资质。标准制定</w:t>
      </w:r>
      <w:r>
        <w:rPr>
          <w:rFonts w:hint="eastAsia" w:eastAsia="宋体" w:cs="Times New Roman"/>
          <w:sz w:val="24"/>
          <w:szCs w:val="24"/>
          <w:lang w:val="en-US" w:eastAsia="zh-CN"/>
        </w:rPr>
        <w:t>组</w:t>
      </w:r>
      <w:r>
        <w:rPr>
          <w:rFonts w:hint="default" w:ascii="Times New Roman" w:hAnsi="Times New Roman" w:eastAsia="宋体" w:cs="Times New Roman"/>
          <w:sz w:val="24"/>
          <w:szCs w:val="24"/>
          <w:lang w:val="en-US" w:eastAsia="zh-CN"/>
        </w:rPr>
        <w:t>长期从事农作物育种栽培、农作物中农药残留相关的研究，以山西省重点研发计划</w:t>
      </w:r>
      <w:r>
        <w:rPr>
          <w:rFonts w:hint="eastAsia" w:ascii="Times New Roman" w:hAnsi="Times New Roman" w:eastAsia="宋体" w:cs="Times New Roman"/>
          <w:sz w:val="24"/>
          <w:szCs w:val="24"/>
          <w:lang w:val="en-US" w:eastAsia="zh-CN"/>
        </w:rPr>
        <w:t>子课题</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山西特色远志原料质量安全风险防控技术研究与应用</w:t>
      </w:r>
      <w:r>
        <w:rPr>
          <w:rFonts w:hint="default" w:ascii="Times New Roman" w:hAnsi="Times New Roman" w:eastAsia="宋体" w:cs="Times New Roman"/>
          <w:sz w:val="24"/>
          <w:szCs w:val="24"/>
          <w:lang w:val="en-US" w:eastAsia="zh-CN"/>
        </w:rPr>
        <w:t>”和山西省重点研发计划项目“食品安全危害因子快速检测技术研究及应用”为基础，对我省</w:t>
      </w:r>
      <w:r>
        <w:rPr>
          <w:rFonts w:hint="eastAsia" w:ascii="Times New Roman" w:hAnsi="Times New Roman" w:eastAsia="宋体" w:cs="Times New Roman"/>
          <w:sz w:val="24"/>
          <w:szCs w:val="24"/>
          <w:lang w:val="en-US" w:eastAsia="zh-CN"/>
        </w:rPr>
        <w:t>远志</w:t>
      </w:r>
      <w:r>
        <w:rPr>
          <w:rFonts w:hint="default" w:ascii="Times New Roman" w:hAnsi="Times New Roman" w:eastAsia="宋体" w:cs="Times New Roman"/>
          <w:sz w:val="24"/>
          <w:szCs w:val="24"/>
          <w:lang w:val="en-US" w:eastAsia="zh-CN"/>
        </w:rPr>
        <w:t>的种植特点、病虫害特征、防治手段、农药污染状况等都有较强的研究基础，为本标准的提出提供了理论基础。</w:t>
      </w:r>
      <w:r>
        <w:rPr>
          <w:rFonts w:hint="eastAsia" w:ascii="Times New Roman" w:hAnsi="Times New Roman" w:eastAsia="宋体" w:cs="Times New Roman"/>
          <w:sz w:val="24"/>
          <w:szCs w:val="24"/>
          <w:lang w:val="en-US" w:eastAsia="zh-CN"/>
        </w:rPr>
        <w:t>加上</w:t>
      </w:r>
      <w:r>
        <w:rPr>
          <w:rFonts w:hint="default" w:ascii="Times New Roman" w:hAnsi="Times New Roman" w:eastAsia="宋体" w:cs="Times New Roman"/>
          <w:sz w:val="24"/>
          <w:szCs w:val="24"/>
          <w:lang w:val="en-US" w:eastAsia="zh-CN"/>
        </w:rPr>
        <w:t>多年的农药登记残留试验任务为本标准中</w:t>
      </w:r>
      <w:r>
        <w:rPr>
          <w:rFonts w:hint="eastAsia" w:eastAsia="宋体" w:cs="Times New Roman"/>
          <w:sz w:val="24"/>
          <w:szCs w:val="24"/>
          <w:lang w:val="en-US" w:eastAsia="zh-CN"/>
        </w:rPr>
        <w:t>远志主要病虫害绿色防控技术规程</w:t>
      </w:r>
      <w:r>
        <w:rPr>
          <w:rFonts w:hint="default" w:ascii="Times New Roman" w:hAnsi="Times New Roman" w:eastAsia="宋体" w:cs="Times New Roman"/>
          <w:sz w:val="24"/>
          <w:szCs w:val="24"/>
          <w:lang w:val="en-US" w:eastAsia="zh-CN"/>
        </w:rPr>
        <w:t>提供了科学借鉴。</w:t>
      </w:r>
    </w:p>
    <w:p w14:paraId="78031CA2">
      <w:pPr>
        <w:pStyle w:val="22"/>
        <w:keepNext w:val="0"/>
        <w:keepLines w:val="0"/>
        <w:pageBreakBefore w:val="0"/>
        <w:widowControl/>
        <w:numPr>
          <w:ilvl w:val="0"/>
          <w:numId w:val="4"/>
        </w:numPr>
        <w:kinsoku/>
        <w:wordWrap/>
        <w:overflowPunct/>
        <w:topLinePunct w:val="0"/>
        <w:autoSpaceDE w:val="0"/>
        <w:autoSpaceDN w:val="0"/>
        <w:bidi w:val="0"/>
        <w:adjustRightInd/>
        <w:snapToGrid/>
        <w:spacing w:before="219" w:beforeLines="50" w:line="240" w:lineRule="auto"/>
        <w:ind w:leftChars="0"/>
        <w:textAlignment w:val="auto"/>
        <w:rPr>
          <w:rFonts w:hint="default" w:ascii="Times New Roman" w:hAnsi="Times New Roman" w:eastAsia="宋体" w:cs="Times New Roman"/>
          <w:b/>
          <w:bCs/>
          <w:color w:val="000000"/>
          <w:kern w:val="2"/>
          <w:sz w:val="24"/>
          <w:szCs w:val="24"/>
        </w:rPr>
      </w:pPr>
      <w:r>
        <w:rPr>
          <w:rFonts w:hint="default" w:ascii="Times New Roman" w:hAnsi="Times New Roman" w:eastAsia="宋体" w:cs="Times New Roman"/>
          <w:b/>
          <w:bCs/>
          <w:color w:val="000000"/>
          <w:kern w:val="2"/>
          <w:sz w:val="24"/>
          <w:szCs w:val="24"/>
        </w:rPr>
        <w:t>适用性原则</w:t>
      </w:r>
    </w:p>
    <w:p w14:paraId="24CB54B4">
      <w:pPr>
        <w:adjustRightInd w:val="0"/>
        <w:snapToGrid w:val="0"/>
        <w:spacing w:line="58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本标准适用于</w:t>
      </w:r>
      <w:r>
        <w:rPr>
          <w:rFonts w:hint="eastAsia" w:ascii="Times New Roman" w:hAnsi="Times New Roman" w:eastAsia="宋体" w:cs="Times New Roman"/>
          <w:sz w:val="24"/>
          <w:szCs w:val="24"/>
          <w:lang w:val="en-US" w:eastAsia="zh-CN"/>
        </w:rPr>
        <w:t>远志</w:t>
      </w:r>
      <w:r>
        <w:rPr>
          <w:rFonts w:hint="default" w:ascii="Times New Roman" w:hAnsi="Times New Roman" w:eastAsia="宋体" w:cs="Times New Roman"/>
          <w:sz w:val="24"/>
          <w:szCs w:val="24"/>
          <w:lang w:val="en-US" w:eastAsia="zh-CN"/>
        </w:rPr>
        <w:t>主要病虫害</w:t>
      </w:r>
      <w:r>
        <w:rPr>
          <w:rFonts w:hint="eastAsia" w:ascii="Times New Roman" w:hAnsi="Times New Roman" w:eastAsia="宋体" w:cs="Times New Roman"/>
          <w:sz w:val="24"/>
          <w:szCs w:val="24"/>
          <w:lang w:val="en-US" w:eastAsia="zh-CN"/>
        </w:rPr>
        <w:t>防控</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在编制过程中，对有关概念和控制技术等内容的叙述尽可能清楚确切，使得本标准执行起来尽可能易实现和可操作，充分满足使用要求。本标准特别强调了实用性和技术推广价值，以确保该标准在全国范围内推广应用。本单位承担</w:t>
      </w:r>
      <w:r>
        <w:rPr>
          <w:rFonts w:hint="eastAsia" w:eastAsia="宋体" w:cs="Times New Roman"/>
          <w:sz w:val="24"/>
          <w:szCs w:val="24"/>
          <w:lang w:eastAsia="zh-CN"/>
        </w:rPr>
        <w:t>农业</w:t>
      </w:r>
      <w:r>
        <w:rPr>
          <w:rFonts w:hint="default" w:ascii="Times New Roman" w:hAnsi="Times New Roman" w:eastAsia="宋体" w:cs="Times New Roman"/>
          <w:sz w:val="24"/>
          <w:szCs w:val="24"/>
        </w:rPr>
        <w:t>部“国家粮油质量安全风险评估重大专项”子课题项目、农业农业部“农药残留标准制修订项目”工作，参与制定国家标准NY/T 788-2018“农作物中农药残留试验准则”，这些工作为本标准的</w:t>
      </w:r>
      <w:r>
        <w:rPr>
          <w:rFonts w:hint="eastAsia" w:eastAsia="宋体" w:cs="Times New Roman"/>
          <w:sz w:val="24"/>
          <w:szCs w:val="24"/>
          <w:lang w:eastAsia="zh-CN"/>
        </w:rPr>
        <w:t>制定</w:t>
      </w:r>
      <w:r>
        <w:rPr>
          <w:rFonts w:hint="default" w:ascii="Times New Roman" w:hAnsi="Times New Roman" w:eastAsia="宋体" w:cs="Times New Roman"/>
          <w:sz w:val="24"/>
          <w:szCs w:val="24"/>
        </w:rPr>
        <w:t>奠定坚实的基础。</w:t>
      </w:r>
    </w:p>
    <w:p w14:paraId="41A6B663">
      <w:pPr>
        <w:pStyle w:val="22"/>
        <w:keepNext w:val="0"/>
        <w:keepLines w:val="0"/>
        <w:pageBreakBefore w:val="0"/>
        <w:widowControl/>
        <w:numPr>
          <w:ilvl w:val="0"/>
          <w:numId w:val="4"/>
        </w:numPr>
        <w:kinsoku/>
        <w:wordWrap/>
        <w:overflowPunct/>
        <w:topLinePunct w:val="0"/>
        <w:autoSpaceDE w:val="0"/>
        <w:autoSpaceDN w:val="0"/>
        <w:bidi w:val="0"/>
        <w:adjustRightInd/>
        <w:snapToGrid/>
        <w:spacing w:before="219" w:beforeLines="50" w:line="240" w:lineRule="auto"/>
        <w:ind w:leftChars="0"/>
        <w:textAlignment w:val="auto"/>
        <w:rPr>
          <w:rFonts w:hint="default" w:ascii="Times New Roman" w:hAnsi="Times New Roman" w:eastAsia="宋体" w:cs="Times New Roman"/>
          <w:b/>
          <w:bCs/>
          <w:color w:val="000000"/>
          <w:kern w:val="2"/>
          <w:sz w:val="24"/>
          <w:szCs w:val="24"/>
        </w:rPr>
      </w:pPr>
      <w:r>
        <w:rPr>
          <w:rFonts w:hint="eastAsia" w:ascii="Times New Roman" w:hAnsi="Times New Roman" w:eastAsia="宋体" w:cs="Times New Roman"/>
          <w:b/>
          <w:bCs/>
          <w:color w:val="000000"/>
          <w:kern w:val="2"/>
          <w:sz w:val="24"/>
          <w:szCs w:val="24"/>
          <w:lang w:val="en-US" w:eastAsia="zh-CN"/>
        </w:rPr>
        <w:t>规范性</w:t>
      </w:r>
      <w:r>
        <w:rPr>
          <w:rFonts w:hint="default" w:ascii="Times New Roman" w:hAnsi="Times New Roman" w:eastAsia="宋体" w:cs="Times New Roman"/>
          <w:b/>
          <w:bCs/>
          <w:color w:val="000000"/>
          <w:kern w:val="2"/>
          <w:sz w:val="24"/>
          <w:szCs w:val="24"/>
        </w:rPr>
        <w:t>原则</w:t>
      </w:r>
    </w:p>
    <w:p w14:paraId="4C5571C3">
      <w:pPr>
        <w:adjustRightInd w:val="0"/>
        <w:snapToGrid w:val="0"/>
        <w:spacing w:line="58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本标准的制定符合国家及地方相关</w:t>
      </w:r>
      <w:r>
        <w:rPr>
          <w:rFonts w:hint="eastAsia" w:eastAsia="宋体" w:cs="Times New Roman"/>
          <w:sz w:val="24"/>
          <w:szCs w:val="24"/>
          <w:lang w:eastAsia="zh-CN"/>
        </w:rPr>
        <w:t>法律法规</w:t>
      </w:r>
      <w:r>
        <w:rPr>
          <w:rFonts w:hint="default" w:ascii="Times New Roman" w:hAnsi="Times New Roman" w:eastAsia="宋体" w:cs="Times New Roman"/>
          <w:sz w:val="24"/>
          <w:szCs w:val="24"/>
        </w:rPr>
        <w:t>的规定，该标准的实施能满足目前对农产品安全生产的需要，针对性地指导</w:t>
      </w:r>
      <w:r>
        <w:rPr>
          <w:rFonts w:hint="eastAsia" w:ascii="Times New Roman" w:hAnsi="Times New Roman" w:eastAsia="宋体" w:cs="Times New Roman"/>
          <w:sz w:val="24"/>
          <w:szCs w:val="24"/>
          <w:lang w:eastAsia="zh-CN"/>
        </w:rPr>
        <w:t>远志</w:t>
      </w:r>
      <w:r>
        <w:rPr>
          <w:rFonts w:hint="default" w:ascii="Times New Roman" w:hAnsi="Times New Roman" w:eastAsia="宋体" w:cs="Times New Roman"/>
          <w:sz w:val="24"/>
          <w:szCs w:val="24"/>
        </w:rPr>
        <w:t>病虫害</w:t>
      </w:r>
      <w:r>
        <w:rPr>
          <w:rFonts w:hint="eastAsia" w:ascii="Times New Roman" w:hAnsi="Times New Roman" w:eastAsia="宋体" w:cs="Times New Roman"/>
          <w:sz w:val="24"/>
          <w:szCs w:val="24"/>
          <w:lang w:eastAsia="zh-CN"/>
        </w:rPr>
        <w:t>防控</w:t>
      </w:r>
      <w:r>
        <w:rPr>
          <w:rFonts w:hint="default" w:ascii="Times New Roman" w:hAnsi="Times New Roman" w:eastAsia="宋体" w:cs="Times New Roman"/>
          <w:sz w:val="24"/>
          <w:szCs w:val="24"/>
        </w:rPr>
        <w:t>，顺应当前对“农产品安全生产</w:t>
      </w:r>
      <w:r>
        <w:rPr>
          <w:rFonts w:hint="eastAsia" w:eastAsia="宋体" w:cs="Times New Roman"/>
          <w:sz w:val="24"/>
          <w:szCs w:val="24"/>
          <w:lang w:eastAsia="zh-CN"/>
        </w:rPr>
        <w:t>”“</w:t>
      </w:r>
      <w:r>
        <w:rPr>
          <w:rFonts w:hint="default" w:ascii="Times New Roman" w:hAnsi="Times New Roman" w:eastAsia="宋体" w:cs="Times New Roman"/>
          <w:sz w:val="24"/>
          <w:szCs w:val="24"/>
        </w:rPr>
        <w:t>农业高质量发展”和“绿色兴农”的要求和政策导向。在标准编制过程中，凡国家现行的行业标准及地方标准以及质量安全要求已有规定的，本标准力求与其保持一致，力求使本标准有一定的先进性、通用性和可操作性。</w:t>
      </w:r>
    </w:p>
    <w:p w14:paraId="7A6081E9">
      <w:pPr>
        <w:keepNext w:val="0"/>
        <w:keepLines w:val="0"/>
        <w:pageBreakBefore w:val="0"/>
        <w:widowControl w:val="0"/>
        <w:numPr>
          <w:ilvl w:val="0"/>
          <w:numId w:val="2"/>
        </w:numPr>
        <w:kinsoku/>
        <w:wordWrap/>
        <w:overflowPunct/>
        <w:topLinePunct w:val="0"/>
        <w:autoSpaceDE/>
        <w:autoSpaceDN/>
        <w:bidi w:val="0"/>
        <w:adjustRightInd w:val="0"/>
        <w:snapToGrid w:val="0"/>
        <w:spacing w:before="219" w:beforeLines="50" w:after="219" w:afterLines="50" w:line="240" w:lineRule="auto"/>
        <w:ind w:firstLine="0" w:firstLineChars="0"/>
        <w:textAlignment w:val="auto"/>
        <w:rPr>
          <w:rFonts w:hint="default" w:ascii="Times New Roman" w:hAnsi="Times New Roman" w:eastAsia="宋体" w:cs="Times New Roman"/>
          <w:b/>
          <w:kern w:val="2"/>
          <w:sz w:val="28"/>
          <w:szCs w:val="28"/>
          <w:lang w:val="en-US" w:eastAsia="zh-CN"/>
        </w:rPr>
      </w:pPr>
      <w:r>
        <w:rPr>
          <w:rFonts w:hint="default" w:ascii="Times New Roman" w:hAnsi="Times New Roman" w:eastAsia="宋体" w:cs="Times New Roman"/>
          <w:b/>
          <w:kern w:val="2"/>
          <w:sz w:val="28"/>
          <w:szCs w:val="28"/>
          <w:lang w:val="en-US" w:eastAsia="zh-CN"/>
        </w:rPr>
        <w:t>与有关的现行法律、法规和国家标准、行业标准、地方标准的关系</w:t>
      </w:r>
    </w:p>
    <w:p w14:paraId="1FEA467E">
      <w:pPr>
        <w:adjustRightInd w:val="0"/>
        <w:snapToGrid w:val="0"/>
        <w:spacing w:line="58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本标准的制定以《中华人民共和国标准法</w:t>
      </w:r>
      <w:r>
        <w:rPr>
          <w:rFonts w:hint="eastAsia" w:eastAsia="宋体" w:cs="Times New Roman"/>
          <w:sz w:val="24"/>
          <w:szCs w:val="24"/>
          <w:lang w:eastAsia="zh-CN"/>
        </w:rPr>
        <w:t>》《</w:t>
      </w:r>
      <w:r>
        <w:rPr>
          <w:rFonts w:hint="default" w:ascii="Times New Roman" w:hAnsi="Times New Roman" w:eastAsia="宋体" w:cs="Times New Roman"/>
          <w:sz w:val="24"/>
          <w:szCs w:val="24"/>
        </w:rPr>
        <w:t>中华人民共和国农业法</w:t>
      </w:r>
      <w:r>
        <w:rPr>
          <w:rFonts w:hint="eastAsia" w:eastAsia="宋体" w:cs="Times New Roman"/>
          <w:sz w:val="24"/>
          <w:szCs w:val="24"/>
          <w:lang w:eastAsia="zh-CN"/>
        </w:rPr>
        <w:t>》《</w:t>
      </w:r>
      <w:r>
        <w:rPr>
          <w:rFonts w:hint="default" w:ascii="Times New Roman" w:hAnsi="Times New Roman" w:eastAsia="宋体" w:cs="Times New Roman"/>
          <w:sz w:val="24"/>
          <w:szCs w:val="24"/>
        </w:rPr>
        <w:t>中华人民共和国食品安全法</w:t>
      </w:r>
      <w:r>
        <w:rPr>
          <w:rFonts w:hint="eastAsia" w:eastAsia="宋体" w:cs="Times New Roman"/>
          <w:sz w:val="24"/>
          <w:szCs w:val="24"/>
          <w:lang w:eastAsia="zh-CN"/>
        </w:rPr>
        <w:t>》《</w:t>
      </w:r>
      <w:r>
        <w:rPr>
          <w:rFonts w:hint="default" w:ascii="Times New Roman" w:hAnsi="Times New Roman" w:eastAsia="宋体" w:cs="Times New Roman"/>
          <w:sz w:val="24"/>
          <w:szCs w:val="24"/>
        </w:rPr>
        <w:t>中华人民共和国农药管理条例》为依据，并在符合GB/T1.1-2020《标准化工作原则导则 第1部分：标准化文件的结构和起草规则》和《农业标准编写规则》的基础上，总结本单位多年的项目研究成果和日常工作经验，突出了本标准编写应遵循的特色和原则，严格执行强制性国家标准和行业标准。与相关的各种基础标准相衔接，遵循了政策性和协调统一性的原则，与现行</w:t>
      </w:r>
      <w:r>
        <w:rPr>
          <w:rFonts w:hint="eastAsia" w:eastAsia="宋体" w:cs="Times New Roman"/>
          <w:sz w:val="24"/>
          <w:szCs w:val="24"/>
          <w:lang w:eastAsia="zh-CN"/>
        </w:rPr>
        <w:t>法律法规</w:t>
      </w:r>
      <w:r>
        <w:rPr>
          <w:rFonts w:hint="default" w:ascii="Times New Roman" w:hAnsi="Times New Roman" w:eastAsia="宋体" w:cs="Times New Roman"/>
          <w:sz w:val="24"/>
          <w:szCs w:val="24"/>
        </w:rPr>
        <w:t>和国家标准、行业标准、地方标准都不冲突。</w:t>
      </w:r>
    </w:p>
    <w:p w14:paraId="51900449">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本标准是根据我省</w:t>
      </w:r>
      <w:r>
        <w:rPr>
          <w:rFonts w:hint="eastAsia" w:ascii="Times New Roman" w:hAnsi="Times New Roman" w:eastAsia="宋体" w:cs="Times New Roman"/>
          <w:sz w:val="24"/>
          <w:szCs w:val="24"/>
          <w:lang w:val="en-US" w:eastAsia="zh-CN"/>
        </w:rPr>
        <w:t>远志</w:t>
      </w:r>
      <w:r>
        <w:rPr>
          <w:rFonts w:hint="default" w:ascii="Times New Roman" w:hAnsi="Times New Roman" w:eastAsia="宋体" w:cs="Times New Roman"/>
          <w:sz w:val="24"/>
          <w:szCs w:val="24"/>
          <w:lang w:val="en-US" w:eastAsia="zh-CN"/>
        </w:rPr>
        <w:t>的生产实践而制定的，没有可直接引用的</w:t>
      </w:r>
      <w:r>
        <w:rPr>
          <w:rFonts w:hint="eastAsia" w:ascii="Times New Roman" w:hAnsi="Times New Roman" w:eastAsia="宋体" w:cs="Times New Roman"/>
          <w:sz w:val="24"/>
          <w:szCs w:val="24"/>
          <w:lang w:val="en-US" w:eastAsia="zh-CN"/>
        </w:rPr>
        <w:t>远志病虫害防治相关的</w:t>
      </w:r>
      <w:r>
        <w:rPr>
          <w:rFonts w:hint="default" w:ascii="Times New Roman" w:hAnsi="Times New Roman" w:eastAsia="宋体" w:cs="Times New Roman"/>
          <w:sz w:val="24"/>
          <w:szCs w:val="24"/>
          <w:lang w:val="en-US" w:eastAsia="zh-CN"/>
        </w:rPr>
        <w:t>国际标准、国家标准和山西省地方标准。</w:t>
      </w:r>
      <w:r>
        <w:rPr>
          <w:rFonts w:hint="eastAsia" w:ascii="Times New Roman" w:hAnsi="Times New Roman" w:eastAsia="宋体" w:cs="Times New Roman"/>
          <w:sz w:val="24"/>
          <w:szCs w:val="24"/>
          <w:lang w:val="en-US" w:eastAsia="zh-CN"/>
        </w:rPr>
        <w:t>在农药和化肥使用上</w:t>
      </w:r>
      <w:r>
        <w:rPr>
          <w:rFonts w:hint="default" w:ascii="Times New Roman" w:hAnsi="Times New Roman" w:eastAsia="宋体" w:cs="Times New Roman"/>
          <w:sz w:val="24"/>
          <w:szCs w:val="24"/>
          <w:lang w:val="en-US" w:eastAsia="zh-CN"/>
        </w:rPr>
        <w:t>本标准</w:t>
      </w:r>
      <w:r>
        <w:rPr>
          <w:rFonts w:hint="eastAsia" w:ascii="Times New Roman" w:hAnsi="Times New Roman" w:eastAsia="宋体" w:cs="Times New Roman"/>
          <w:sz w:val="24"/>
          <w:szCs w:val="24"/>
          <w:lang w:val="en-US" w:eastAsia="zh-CN"/>
        </w:rPr>
        <w:t>严格遵循《</w:t>
      </w:r>
      <w:r>
        <w:rPr>
          <w:rFonts w:hint="default" w:ascii="Times New Roman" w:hAnsi="Times New Roman" w:eastAsia="宋体" w:cs="Times New Roman"/>
          <w:sz w:val="24"/>
          <w:szCs w:val="24"/>
          <w:lang w:val="en-US" w:eastAsia="zh-CN"/>
        </w:rPr>
        <w:t>GB/T 8321（所有部分）农药合理使用准则</w:t>
      </w:r>
      <w:r>
        <w:rPr>
          <w:rFonts w:hint="eastAsia" w:ascii="Times New Roman" w:hAnsi="Times New Roman" w:eastAsia="宋体" w:cs="Times New Roman"/>
          <w:sz w:val="24"/>
          <w:szCs w:val="24"/>
          <w:lang w:val="en-US" w:eastAsia="zh-CN"/>
        </w:rPr>
        <w:t>》和《</w:t>
      </w:r>
      <w:r>
        <w:rPr>
          <w:rFonts w:hint="default" w:ascii="Times New Roman" w:hAnsi="Times New Roman" w:eastAsia="宋体" w:cs="Times New Roman"/>
          <w:sz w:val="24"/>
          <w:szCs w:val="24"/>
          <w:lang w:val="en-US" w:eastAsia="zh-CN"/>
        </w:rPr>
        <w:t>NY/T 1276 农药安全使用规范 总则</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GB/T 19630.1 有机产品 第1部分：生产</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NY/T 393 绿色食品 农药使用准则</w:t>
      </w:r>
      <w:r>
        <w:rPr>
          <w:rFonts w:hint="eastAsia" w:ascii="Times New Roman" w:hAnsi="Times New Roman" w:eastAsia="宋体" w:cs="Times New Roman"/>
          <w:sz w:val="24"/>
          <w:szCs w:val="24"/>
          <w:lang w:val="en-US" w:eastAsia="zh-CN"/>
        </w:rPr>
        <w:t>》和《</w:t>
      </w:r>
      <w:r>
        <w:rPr>
          <w:rFonts w:hint="default" w:ascii="Times New Roman" w:hAnsi="Times New Roman" w:eastAsia="宋体" w:cs="Times New Roman"/>
          <w:sz w:val="24"/>
          <w:szCs w:val="24"/>
          <w:lang w:val="en-US" w:eastAsia="zh-CN"/>
        </w:rPr>
        <w:t>NY/T 394 绿色食品 肥料使用准则</w:t>
      </w:r>
      <w:r>
        <w:rPr>
          <w:rFonts w:hint="eastAsia" w:ascii="Times New Roman" w:hAnsi="Times New Roman" w:eastAsia="宋体" w:cs="Times New Roman"/>
          <w:sz w:val="24"/>
          <w:szCs w:val="24"/>
          <w:lang w:val="en-US" w:eastAsia="zh-CN"/>
        </w:rPr>
        <w:t>》的要求。</w:t>
      </w:r>
    </w:p>
    <w:p w14:paraId="0E9DB07D">
      <w:pPr>
        <w:keepNext w:val="0"/>
        <w:keepLines w:val="0"/>
        <w:pageBreakBefore w:val="0"/>
        <w:widowControl w:val="0"/>
        <w:numPr>
          <w:ilvl w:val="0"/>
          <w:numId w:val="2"/>
        </w:numPr>
        <w:kinsoku/>
        <w:wordWrap/>
        <w:overflowPunct/>
        <w:topLinePunct w:val="0"/>
        <w:autoSpaceDE/>
        <w:autoSpaceDN/>
        <w:bidi w:val="0"/>
        <w:adjustRightInd w:val="0"/>
        <w:snapToGrid w:val="0"/>
        <w:spacing w:before="219" w:beforeLines="50" w:after="219" w:afterLines="50" w:line="240" w:lineRule="auto"/>
        <w:ind w:firstLine="0" w:firstLineChars="0"/>
        <w:textAlignment w:val="auto"/>
        <w:rPr>
          <w:rFonts w:hint="default" w:ascii="Times New Roman" w:hAnsi="Times New Roman" w:eastAsia="宋体" w:cs="Times New Roman"/>
          <w:b/>
          <w:bCs/>
          <w:color w:val="000000"/>
          <w:kern w:val="2"/>
          <w:sz w:val="24"/>
          <w:szCs w:val="24"/>
          <w:lang w:val="en-US" w:eastAsia="zh-CN"/>
        </w:rPr>
      </w:pPr>
      <w:r>
        <w:rPr>
          <w:rFonts w:hint="default" w:ascii="Times New Roman" w:hAnsi="Times New Roman" w:eastAsia="宋体" w:cs="Times New Roman"/>
          <w:b/>
          <w:kern w:val="2"/>
          <w:sz w:val="28"/>
          <w:szCs w:val="28"/>
          <w:lang w:val="en-US" w:eastAsia="zh-CN"/>
        </w:rPr>
        <w:t>确定主要内容</w:t>
      </w:r>
      <w:r>
        <w:rPr>
          <w:rFonts w:hint="eastAsia" w:ascii="Times New Roman" w:hAnsi="Times New Roman" w:eastAsia="宋体" w:cs="Times New Roman"/>
          <w:b/>
          <w:kern w:val="2"/>
          <w:sz w:val="28"/>
          <w:szCs w:val="28"/>
          <w:lang w:val="en-US" w:eastAsia="zh-CN"/>
        </w:rPr>
        <w:t>，主要技术指标、参数、试验验证的分析和综合论述</w:t>
      </w:r>
    </w:p>
    <w:p w14:paraId="46FDD068">
      <w:pPr>
        <w:numPr>
          <w:ilvl w:val="0"/>
          <w:numId w:val="5"/>
        </w:numPr>
        <w:adjustRightInd w:val="0"/>
        <w:snapToGrid w:val="0"/>
        <w:spacing w:line="580" w:lineRule="exact"/>
        <w:ind w:firstLine="480" w:firstLineChars="200"/>
        <w:rPr>
          <w:rFonts w:hint="eastAsia" w:ascii="Times New Roman" w:hAnsi="Times New Roman" w:eastAsia="宋体" w:cs="Times New Roman"/>
          <w:b w:val="0"/>
          <w:bCs w:val="0"/>
          <w:color w:val="000000"/>
          <w:kern w:val="2"/>
          <w:sz w:val="24"/>
          <w:szCs w:val="24"/>
          <w:lang w:val="en-US" w:eastAsia="zh-CN"/>
        </w:rPr>
      </w:pPr>
      <w:r>
        <w:rPr>
          <w:rFonts w:hint="default" w:ascii="Times New Roman" w:hAnsi="Times New Roman" w:eastAsia="宋体" w:cs="Times New Roman"/>
          <w:b w:val="0"/>
          <w:bCs w:val="0"/>
          <w:color w:val="000000"/>
          <w:kern w:val="2"/>
          <w:sz w:val="24"/>
          <w:szCs w:val="24"/>
          <w:lang w:val="en-US" w:eastAsia="zh-CN"/>
        </w:rPr>
        <w:t>主要内容</w:t>
      </w:r>
    </w:p>
    <w:p w14:paraId="6DBC3530">
      <w:pPr>
        <w:adjustRightInd w:val="0"/>
        <w:snapToGrid w:val="0"/>
        <w:spacing w:line="58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本标准共</w:t>
      </w:r>
      <w:r>
        <w:rPr>
          <w:rFonts w:hint="eastAsia" w:ascii="Times New Roman" w:hAnsi="Times New Roman" w:eastAsia="宋体" w:cs="Times New Roman"/>
          <w:sz w:val="24"/>
          <w:szCs w:val="24"/>
          <w:lang w:val="en-US" w:eastAsia="zh-CN"/>
        </w:rPr>
        <w:t>九</w:t>
      </w:r>
      <w:r>
        <w:rPr>
          <w:rFonts w:hint="default" w:ascii="Times New Roman" w:hAnsi="Times New Roman" w:eastAsia="宋体" w:cs="Times New Roman"/>
          <w:sz w:val="24"/>
          <w:szCs w:val="24"/>
        </w:rPr>
        <w:t>大部分，主要内容包括：范围、规范性引用文件、术语和定义、防治原则、防治对象、</w:t>
      </w:r>
      <w:r>
        <w:rPr>
          <w:rFonts w:hint="eastAsia" w:ascii="Times New Roman" w:hAnsi="Times New Roman" w:eastAsia="宋体" w:cs="Times New Roman"/>
          <w:sz w:val="24"/>
          <w:szCs w:val="24"/>
          <w:lang w:val="en-US" w:eastAsia="zh-CN"/>
        </w:rPr>
        <w:t>农业防控、物理防控、生物防控和附录</w:t>
      </w:r>
      <w:r>
        <w:rPr>
          <w:rFonts w:hint="default" w:ascii="Times New Roman" w:hAnsi="Times New Roman" w:eastAsia="宋体" w:cs="Times New Roman"/>
          <w:sz w:val="24"/>
          <w:szCs w:val="24"/>
        </w:rPr>
        <w:t>。本文件的制定是在参考相关标准和文献的基础上，完全是本单位工作的总结和凝练，在技术内容方面表达方面力求准确无误、简明、易懂和可操作，本文件的构成严谨合理，内容编排及层次划分等符合逻辑与规定。</w:t>
      </w:r>
    </w:p>
    <w:p w14:paraId="5C9F25D6">
      <w:pPr>
        <w:pStyle w:val="22"/>
        <w:keepNext w:val="0"/>
        <w:keepLines w:val="0"/>
        <w:pageBreakBefore w:val="0"/>
        <w:widowControl/>
        <w:numPr>
          <w:ilvl w:val="0"/>
          <w:numId w:val="6"/>
        </w:numPr>
        <w:kinsoku/>
        <w:wordWrap/>
        <w:overflowPunct/>
        <w:topLinePunct w:val="0"/>
        <w:autoSpaceDE w:val="0"/>
        <w:autoSpaceDN w:val="0"/>
        <w:bidi w:val="0"/>
        <w:adjustRightInd/>
        <w:snapToGrid/>
        <w:spacing w:before="219" w:beforeLines="50" w:line="240" w:lineRule="auto"/>
        <w:ind w:left="0" w:leftChars="0" w:firstLine="482" w:firstLineChars="200"/>
        <w:textAlignment w:val="auto"/>
        <w:rPr>
          <w:rFonts w:hint="default" w:ascii="Times New Roman" w:hAnsi="Times New Roman" w:eastAsia="宋体" w:cs="Times New Roman"/>
          <w:b/>
          <w:bCs/>
          <w:color w:val="000000"/>
          <w:kern w:val="2"/>
          <w:sz w:val="24"/>
          <w:szCs w:val="24"/>
          <w:lang w:val="en-US" w:eastAsia="zh-CN"/>
        </w:rPr>
      </w:pPr>
      <w:r>
        <w:rPr>
          <w:rFonts w:hint="default" w:ascii="Times New Roman" w:hAnsi="Times New Roman" w:eastAsia="宋体" w:cs="Times New Roman"/>
          <w:b/>
          <w:bCs/>
          <w:color w:val="000000"/>
          <w:kern w:val="2"/>
          <w:sz w:val="24"/>
          <w:szCs w:val="24"/>
          <w:lang w:val="en-US" w:eastAsia="zh-CN"/>
        </w:rPr>
        <w:t>范围</w:t>
      </w:r>
    </w:p>
    <w:p w14:paraId="2DCE1C34">
      <w:pPr>
        <w:adjustRightInd w:val="0"/>
        <w:snapToGrid w:val="0"/>
        <w:spacing w:line="58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本标准规定了</w:t>
      </w:r>
      <w:r>
        <w:rPr>
          <w:rFonts w:hint="eastAsia" w:ascii="Times New Roman" w:hAnsi="Times New Roman" w:eastAsia="宋体" w:cs="Times New Roman"/>
          <w:sz w:val="24"/>
          <w:szCs w:val="24"/>
          <w:lang w:eastAsia="zh-CN"/>
        </w:rPr>
        <w:t>远志</w:t>
      </w:r>
      <w:r>
        <w:rPr>
          <w:rFonts w:hint="default" w:ascii="Times New Roman" w:hAnsi="Times New Roman" w:eastAsia="宋体" w:cs="Times New Roman"/>
          <w:sz w:val="24"/>
          <w:szCs w:val="24"/>
        </w:rPr>
        <w:t>主要的病虫害</w:t>
      </w:r>
      <w:r>
        <w:rPr>
          <w:rFonts w:hint="eastAsia" w:ascii="Times New Roman" w:hAnsi="Times New Roman" w:eastAsia="宋体" w:cs="Times New Roman"/>
          <w:sz w:val="24"/>
          <w:szCs w:val="24"/>
          <w:lang w:eastAsia="zh-CN"/>
        </w:rPr>
        <w:t>防控</w:t>
      </w:r>
      <w:r>
        <w:rPr>
          <w:rFonts w:hint="default" w:ascii="Times New Roman" w:hAnsi="Times New Roman" w:eastAsia="宋体" w:cs="Times New Roman"/>
          <w:sz w:val="24"/>
          <w:szCs w:val="24"/>
        </w:rPr>
        <w:t>防治原则、防治对象、</w:t>
      </w:r>
      <w:r>
        <w:rPr>
          <w:rFonts w:hint="eastAsia" w:ascii="Times New Roman" w:hAnsi="Times New Roman" w:eastAsia="宋体" w:cs="Times New Roman"/>
          <w:sz w:val="24"/>
          <w:szCs w:val="24"/>
          <w:lang w:eastAsia="zh-CN"/>
        </w:rPr>
        <w:t>防控</w:t>
      </w:r>
      <w:r>
        <w:rPr>
          <w:rFonts w:hint="default" w:ascii="Times New Roman" w:hAnsi="Times New Roman" w:eastAsia="宋体" w:cs="Times New Roman"/>
          <w:sz w:val="24"/>
          <w:szCs w:val="24"/>
        </w:rPr>
        <w:t>技术。</w:t>
      </w:r>
    </w:p>
    <w:p w14:paraId="41BB8B26">
      <w:pPr>
        <w:adjustRightInd w:val="0"/>
        <w:snapToGrid w:val="0"/>
        <w:spacing w:line="58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本标准适用于</w:t>
      </w:r>
      <w:r>
        <w:rPr>
          <w:rFonts w:hint="eastAsia" w:ascii="Times New Roman" w:hAnsi="Times New Roman" w:eastAsia="宋体" w:cs="Times New Roman"/>
          <w:sz w:val="24"/>
          <w:szCs w:val="24"/>
          <w:lang w:eastAsia="zh-CN"/>
        </w:rPr>
        <w:t>远志</w:t>
      </w:r>
      <w:r>
        <w:rPr>
          <w:rFonts w:hint="default" w:ascii="Times New Roman" w:hAnsi="Times New Roman" w:eastAsia="宋体" w:cs="Times New Roman"/>
          <w:sz w:val="24"/>
          <w:szCs w:val="24"/>
        </w:rPr>
        <w:t>生产中的主要病虫害</w:t>
      </w:r>
      <w:r>
        <w:rPr>
          <w:rFonts w:hint="eastAsia" w:ascii="Times New Roman" w:hAnsi="Times New Roman" w:eastAsia="宋体" w:cs="Times New Roman"/>
          <w:sz w:val="24"/>
          <w:szCs w:val="24"/>
          <w:lang w:eastAsia="zh-CN"/>
        </w:rPr>
        <w:t>防控</w:t>
      </w:r>
      <w:r>
        <w:rPr>
          <w:rFonts w:hint="default" w:ascii="Times New Roman" w:hAnsi="Times New Roman" w:eastAsia="宋体" w:cs="Times New Roman"/>
          <w:sz w:val="24"/>
          <w:szCs w:val="24"/>
        </w:rPr>
        <w:t>。</w:t>
      </w:r>
    </w:p>
    <w:p w14:paraId="0FC51DFB">
      <w:pPr>
        <w:pStyle w:val="22"/>
        <w:keepNext w:val="0"/>
        <w:keepLines w:val="0"/>
        <w:pageBreakBefore w:val="0"/>
        <w:widowControl/>
        <w:numPr>
          <w:ilvl w:val="0"/>
          <w:numId w:val="6"/>
        </w:numPr>
        <w:kinsoku/>
        <w:wordWrap/>
        <w:overflowPunct/>
        <w:topLinePunct w:val="0"/>
        <w:autoSpaceDE w:val="0"/>
        <w:autoSpaceDN w:val="0"/>
        <w:bidi w:val="0"/>
        <w:adjustRightInd/>
        <w:snapToGrid/>
        <w:spacing w:before="219" w:beforeLines="50" w:line="240" w:lineRule="auto"/>
        <w:ind w:left="0" w:leftChars="0" w:firstLine="482" w:firstLineChars="200"/>
        <w:textAlignment w:val="auto"/>
        <w:rPr>
          <w:rFonts w:hint="default" w:ascii="Times New Roman" w:hAnsi="Times New Roman" w:eastAsia="宋体" w:cs="Times New Roman"/>
          <w:b/>
          <w:bCs/>
          <w:color w:val="000000"/>
          <w:kern w:val="2"/>
          <w:sz w:val="24"/>
          <w:szCs w:val="24"/>
          <w:lang w:val="en-US" w:eastAsia="zh-CN"/>
        </w:rPr>
      </w:pPr>
      <w:r>
        <w:rPr>
          <w:rFonts w:hint="default" w:ascii="Times New Roman" w:hAnsi="Times New Roman" w:eastAsia="宋体" w:cs="Times New Roman"/>
          <w:b/>
          <w:bCs/>
          <w:color w:val="000000"/>
          <w:kern w:val="2"/>
          <w:sz w:val="24"/>
          <w:szCs w:val="24"/>
          <w:lang w:val="en-US" w:eastAsia="zh-CN"/>
        </w:rPr>
        <w:t>规范性引用文件</w:t>
      </w:r>
    </w:p>
    <w:p w14:paraId="5F282113">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根据本标准内容的规范需要，引用相应的标准，所引用的文件均为“现行有效”，且引用均符合GB/T 1.1-2020《标准化工作导则 第1部分：标准化文件的结构和起草规则》的要求。该部分包括</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个推荐性国家标准。</w:t>
      </w:r>
    </w:p>
    <w:p w14:paraId="264CF03C">
      <w:pPr>
        <w:pStyle w:val="22"/>
        <w:keepNext w:val="0"/>
        <w:keepLines w:val="0"/>
        <w:pageBreakBefore w:val="0"/>
        <w:widowControl/>
        <w:numPr>
          <w:ilvl w:val="0"/>
          <w:numId w:val="6"/>
        </w:numPr>
        <w:kinsoku/>
        <w:wordWrap/>
        <w:overflowPunct/>
        <w:topLinePunct w:val="0"/>
        <w:autoSpaceDE w:val="0"/>
        <w:autoSpaceDN w:val="0"/>
        <w:bidi w:val="0"/>
        <w:adjustRightInd/>
        <w:snapToGrid/>
        <w:spacing w:before="219" w:beforeLines="50" w:line="240" w:lineRule="auto"/>
        <w:ind w:left="0" w:leftChars="0" w:firstLine="482" w:firstLineChars="200"/>
        <w:textAlignment w:val="auto"/>
        <w:rPr>
          <w:rFonts w:hint="default" w:ascii="Times New Roman" w:hAnsi="Times New Roman" w:eastAsia="宋体" w:cs="Times New Roman"/>
          <w:b/>
          <w:bCs/>
          <w:color w:val="000000"/>
          <w:kern w:val="2"/>
          <w:sz w:val="24"/>
          <w:szCs w:val="24"/>
          <w:lang w:val="en-US" w:eastAsia="zh-CN"/>
        </w:rPr>
      </w:pPr>
      <w:r>
        <w:rPr>
          <w:rFonts w:hint="default" w:ascii="Times New Roman" w:hAnsi="Times New Roman" w:eastAsia="宋体" w:cs="Times New Roman"/>
          <w:b/>
          <w:bCs/>
          <w:color w:val="000000"/>
          <w:kern w:val="2"/>
          <w:sz w:val="24"/>
          <w:szCs w:val="24"/>
          <w:lang w:val="en-US" w:eastAsia="zh-CN"/>
        </w:rPr>
        <w:t>术语和定义</w:t>
      </w:r>
    </w:p>
    <w:p w14:paraId="31EE14BC">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本标准对</w:t>
      </w:r>
      <w:r>
        <w:rPr>
          <w:rFonts w:hint="eastAsia" w:ascii="Times New Roman" w:hAnsi="Times New Roman" w:eastAsia="宋体" w:cs="Times New Roman"/>
          <w:sz w:val="24"/>
          <w:szCs w:val="24"/>
          <w:lang w:val="en-US" w:eastAsia="zh-CN"/>
        </w:rPr>
        <w:t>远志</w:t>
      </w:r>
      <w:r>
        <w:rPr>
          <w:rFonts w:hint="default" w:ascii="Times New Roman" w:hAnsi="Times New Roman" w:eastAsia="宋体" w:cs="Times New Roman"/>
          <w:sz w:val="24"/>
          <w:szCs w:val="24"/>
          <w:lang w:val="en-US" w:eastAsia="zh-CN"/>
        </w:rPr>
        <w:t>进行了定义，本品呈圆柱形，略弯曲，长2 cm～30 cm，直径0.2 cm～1 cm。表面灰黄色至灰棕色，有较密并深陷的横皱纹、纵皱纹及裂纹，老根的横皱纹较密更深陷，略呈结节状。质硬而脆，易折断，断面皮部棕黄色，木部黄白色，皮部易与木部剥离，抽取木心者中空。气微，味苦、微辛，嚼之有刺喉感。</w:t>
      </w:r>
    </w:p>
    <w:p w14:paraId="79D22904">
      <w:pPr>
        <w:pStyle w:val="22"/>
        <w:keepNext w:val="0"/>
        <w:keepLines w:val="0"/>
        <w:pageBreakBefore w:val="0"/>
        <w:widowControl/>
        <w:numPr>
          <w:ilvl w:val="0"/>
          <w:numId w:val="6"/>
        </w:numPr>
        <w:kinsoku/>
        <w:wordWrap/>
        <w:overflowPunct/>
        <w:topLinePunct w:val="0"/>
        <w:autoSpaceDE w:val="0"/>
        <w:autoSpaceDN w:val="0"/>
        <w:bidi w:val="0"/>
        <w:adjustRightInd/>
        <w:snapToGrid/>
        <w:spacing w:before="219" w:beforeLines="50" w:line="240" w:lineRule="auto"/>
        <w:ind w:left="0" w:leftChars="0" w:firstLine="482" w:firstLineChars="200"/>
        <w:textAlignment w:val="auto"/>
        <w:rPr>
          <w:rFonts w:hint="default" w:ascii="Times New Roman" w:hAnsi="Times New Roman" w:eastAsia="宋体" w:cs="Times New Roman"/>
          <w:b/>
          <w:bCs/>
          <w:color w:val="000000"/>
          <w:kern w:val="2"/>
          <w:sz w:val="24"/>
          <w:szCs w:val="24"/>
          <w:lang w:val="en-US" w:eastAsia="zh-CN"/>
        </w:rPr>
      </w:pPr>
      <w:r>
        <w:rPr>
          <w:rFonts w:hint="default" w:ascii="Times New Roman" w:hAnsi="Times New Roman" w:eastAsia="宋体" w:cs="Times New Roman"/>
          <w:b/>
          <w:bCs/>
          <w:color w:val="000000"/>
          <w:kern w:val="2"/>
          <w:sz w:val="24"/>
          <w:szCs w:val="24"/>
          <w:lang w:val="en-US" w:eastAsia="zh-CN"/>
        </w:rPr>
        <w:t>防治原则</w:t>
      </w:r>
    </w:p>
    <w:p w14:paraId="0A65898F">
      <w:pPr>
        <w:adjustRightInd w:val="0"/>
        <w:snapToGrid w:val="0"/>
        <w:spacing w:line="580" w:lineRule="exact"/>
        <w:ind w:firstLine="480" w:firstLineChars="200"/>
        <w:rPr>
          <w:rFonts w:hint="default" w:ascii="Times New Roman" w:hAnsi="Times New Roman" w:eastAsia="宋体" w:cs="Times New Roman"/>
          <w:sz w:val="32"/>
          <w:szCs w:val="32"/>
          <w:lang w:val="en-US" w:eastAsia="zh-CN"/>
        </w:rPr>
      </w:pPr>
      <w:r>
        <w:rPr>
          <w:rFonts w:hint="default" w:ascii="Times New Roman" w:hAnsi="Times New Roman" w:eastAsia="宋体" w:cs="Times New Roman"/>
          <w:bCs/>
          <w:sz w:val="24"/>
          <w:lang w:val="en-US" w:eastAsia="zh-CN"/>
        </w:rPr>
        <w:t>农业、生物防控为基础，物理防控为核心</w:t>
      </w:r>
      <w:bookmarkStart w:id="1" w:name="_GoBack"/>
      <w:bookmarkEnd w:id="1"/>
      <w:r>
        <w:rPr>
          <w:rFonts w:hint="default" w:ascii="Times New Roman" w:hAnsi="Times New Roman" w:eastAsia="宋体" w:cs="Times New Roman"/>
          <w:sz w:val="24"/>
          <w:szCs w:val="24"/>
          <w:lang w:val="en-US" w:eastAsia="zh-CN"/>
        </w:rPr>
        <w:t>的</w:t>
      </w:r>
      <w:r>
        <w:rPr>
          <w:rFonts w:hint="eastAsia" w:ascii="Times New Roman" w:hAnsi="Times New Roman" w:eastAsia="宋体" w:cs="Times New Roman"/>
          <w:sz w:val="24"/>
          <w:szCs w:val="24"/>
          <w:lang w:val="en-US" w:eastAsia="zh-CN"/>
        </w:rPr>
        <w:t>防控理念</w:t>
      </w:r>
      <w:r>
        <w:rPr>
          <w:rFonts w:hint="default" w:ascii="Times New Roman" w:hAnsi="Times New Roman" w:eastAsia="宋体" w:cs="Times New Roman"/>
          <w:sz w:val="24"/>
          <w:szCs w:val="24"/>
          <w:lang w:val="en-US" w:eastAsia="zh-CN"/>
        </w:rPr>
        <w:t>。</w:t>
      </w:r>
    </w:p>
    <w:p w14:paraId="0D1342CC">
      <w:pPr>
        <w:pStyle w:val="22"/>
        <w:keepNext w:val="0"/>
        <w:keepLines w:val="0"/>
        <w:pageBreakBefore w:val="0"/>
        <w:widowControl/>
        <w:numPr>
          <w:ilvl w:val="0"/>
          <w:numId w:val="6"/>
        </w:numPr>
        <w:kinsoku/>
        <w:wordWrap/>
        <w:overflowPunct/>
        <w:topLinePunct w:val="0"/>
        <w:autoSpaceDE w:val="0"/>
        <w:autoSpaceDN w:val="0"/>
        <w:bidi w:val="0"/>
        <w:adjustRightInd/>
        <w:snapToGrid/>
        <w:spacing w:before="219" w:beforeLines="50" w:line="240" w:lineRule="auto"/>
        <w:ind w:left="0" w:leftChars="0" w:firstLine="482" w:firstLineChars="200"/>
        <w:textAlignment w:val="auto"/>
        <w:rPr>
          <w:rFonts w:hint="default" w:ascii="Times New Roman" w:hAnsi="Times New Roman" w:eastAsia="宋体" w:cs="Times New Roman"/>
          <w:b/>
          <w:bCs/>
          <w:color w:val="000000"/>
          <w:kern w:val="2"/>
          <w:sz w:val="24"/>
          <w:szCs w:val="24"/>
          <w:lang w:val="en-US" w:eastAsia="zh-CN"/>
        </w:rPr>
      </w:pPr>
      <w:r>
        <w:rPr>
          <w:rFonts w:hint="default" w:ascii="Times New Roman" w:hAnsi="Times New Roman" w:eastAsia="宋体" w:cs="Times New Roman"/>
          <w:b/>
          <w:bCs/>
          <w:color w:val="000000"/>
          <w:kern w:val="2"/>
          <w:sz w:val="24"/>
          <w:szCs w:val="24"/>
          <w:lang w:val="en-US" w:eastAsia="zh-CN"/>
        </w:rPr>
        <w:t>防治对象</w:t>
      </w:r>
    </w:p>
    <w:p w14:paraId="49ECC55E">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起草工作组成员</w:t>
      </w:r>
      <w:r>
        <w:rPr>
          <w:rFonts w:hint="eastAsia" w:eastAsia="宋体" w:cs="Times New Roman"/>
          <w:sz w:val="24"/>
          <w:szCs w:val="24"/>
          <w:lang w:val="en-US" w:eastAsia="zh-CN"/>
        </w:rPr>
        <w:t>赴</w:t>
      </w:r>
      <w:r>
        <w:rPr>
          <w:rFonts w:hint="default" w:ascii="Times New Roman" w:hAnsi="Times New Roman" w:eastAsia="宋体" w:cs="Times New Roman"/>
          <w:b w:val="0"/>
          <w:bCs w:val="0"/>
          <w:sz w:val="24"/>
          <w:szCs w:val="24"/>
          <w:lang w:val="en-US" w:eastAsia="zh-CN"/>
        </w:rPr>
        <w:t>山西省运城市新绛县、山西晋中平遥县中药材远志种植基地</w:t>
      </w:r>
      <w:r>
        <w:rPr>
          <w:rFonts w:hint="default" w:ascii="Times New Roman" w:hAnsi="Times New Roman" w:eastAsia="宋体" w:cs="Times New Roman"/>
          <w:sz w:val="24"/>
          <w:szCs w:val="24"/>
          <w:lang w:val="en-US" w:eastAsia="zh-CN"/>
        </w:rPr>
        <w:t>对</w:t>
      </w:r>
      <w:r>
        <w:rPr>
          <w:rFonts w:hint="eastAsia" w:ascii="Times New Roman" w:hAnsi="Times New Roman" w:eastAsia="宋体" w:cs="Times New Roman"/>
          <w:sz w:val="24"/>
          <w:szCs w:val="24"/>
          <w:lang w:val="en-US" w:eastAsia="zh-CN"/>
        </w:rPr>
        <w:t>远志</w:t>
      </w:r>
      <w:r>
        <w:rPr>
          <w:rFonts w:hint="default" w:ascii="Times New Roman" w:hAnsi="Times New Roman" w:eastAsia="宋体" w:cs="Times New Roman"/>
          <w:sz w:val="24"/>
          <w:szCs w:val="24"/>
          <w:lang w:val="en-US" w:eastAsia="zh-CN"/>
        </w:rPr>
        <w:t>病虫害发生防治情况进行了调研，明确了</w:t>
      </w:r>
      <w:r>
        <w:rPr>
          <w:rFonts w:hint="eastAsia" w:ascii="Times New Roman" w:hAnsi="Times New Roman" w:eastAsia="宋体" w:cs="Times New Roman"/>
          <w:sz w:val="24"/>
          <w:szCs w:val="24"/>
          <w:lang w:val="en-US" w:eastAsia="zh-CN"/>
        </w:rPr>
        <w:t>远志</w:t>
      </w:r>
      <w:r>
        <w:rPr>
          <w:rFonts w:hint="default" w:ascii="Times New Roman" w:hAnsi="Times New Roman" w:eastAsia="宋体" w:cs="Times New Roman"/>
          <w:sz w:val="24"/>
          <w:szCs w:val="24"/>
          <w:lang w:val="en-US" w:eastAsia="zh-CN"/>
        </w:rPr>
        <w:t>田的主要病虫</w:t>
      </w:r>
      <w:r>
        <w:rPr>
          <w:rFonts w:hint="eastAsia" w:ascii="Times New Roman" w:hAnsi="Times New Roman" w:eastAsia="宋体" w:cs="Times New Roman"/>
          <w:sz w:val="24"/>
          <w:szCs w:val="24"/>
          <w:lang w:val="en-US" w:eastAsia="zh-CN"/>
        </w:rPr>
        <w:t>草</w:t>
      </w:r>
      <w:r>
        <w:rPr>
          <w:rFonts w:hint="default" w:ascii="Times New Roman" w:hAnsi="Times New Roman" w:eastAsia="宋体" w:cs="Times New Roman"/>
          <w:sz w:val="24"/>
          <w:szCs w:val="24"/>
          <w:lang w:val="en-US" w:eastAsia="zh-CN"/>
        </w:rPr>
        <w:t>害有</w:t>
      </w:r>
      <w:r>
        <w:rPr>
          <w:rFonts w:hint="eastAsia" w:ascii="Times New Roman" w:hAnsi="Times New Roman" w:eastAsia="宋体" w:cs="Times New Roman"/>
          <w:bCs/>
          <w:sz w:val="24"/>
          <w:lang w:val="en-US" w:eastAsia="zh-CN"/>
        </w:rPr>
        <w:t>播娘蒿、野燕麦等</w:t>
      </w:r>
      <w:r>
        <w:rPr>
          <w:rFonts w:hint="default" w:ascii="Times New Roman" w:hAnsi="Times New Roman" w:eastAsia="宋体" w:cs="Times New Roman"/>
          <w:bCs/>
          <w:sz w:val="24"/>
          <w:lang w:val="en-US" w:eastAsia="zh-CN"/>
        </w:rPr>
        <w:t>农田杂草、叶枯病</w:t>
      </w:r>
      <w:r>
        <w:rPr>
          <w:rFonts w:hint="eastAsia" w:ascii="Times New Roman" w:hAnsi="Times New Roman" w:eastAsia="宋体" w:cs="Times New Roman"/>
          <w:bCs/>
          <w:sz w:val="24"/>
          <w:lang w:val="en-US" w:eastAsia="zh-CN"/>
        </w:rPr>
        <w:t>和</w:t>
      </w:r>
      <w:r>
        <w:rPr>
          <w:rFonts w:hint="default" w:ascii="Times New Roman" w:hAnsi="Times New Roman" w:eastAsia="宋体" w:cs="Times New Roman"/>
          <w:bCs/>
          <w:sz w:val="24"/>
          <w:lang w:val="en-US" w:eastAsia="zh-CN"/>
        </w:rPr>
        <w:t>根腐病</w:t>
      </w:r>
      <w:r>
        <w:rPr>
          <w:rFonts w:hint="eastAsia" w:ascii="Times New Roman" w:hAnsi="Times New Roman" w:eastAsia="宋体" w:cs="Times New Roman"/>
          <w:bCs/>
          <w:sz w:val="24"/>
          <w:lang w:val="en-US" w:eastAsia="zh-CN"/>
        </w:rPr>
        <w:t>等病害</w:t>
      </w:r>
      <w:r>
        <w:rPr>
          <w:rFonts w:hint="default" w:ascii="Times New Roman" w:hAnsi="Times New Roman" w:eastAsia="宋体" w:cs="Times New Roman"/>
          <w:bCs/>
          <w:sz w:val="24"/>
          <w:lang w:val="en-US" w:eastAsia="zh-CN"/>
        </w:rPr>
        <w:t>、蛴螬等地下害虫、蚜虫、豆</w:t>
      </w:r>
      <w:r>
        <w:rPr>
          <w:rFonts w:hint="eastAsia" w:eastAsia="宋体" w:cs="Times New Roman"/>
          <w:bCs/>
          <w:sz w:val="24"/>
          <w:lang w:val="en-US" w:eastAsia="zh-CN"/>
        </w:rPr>
        <w:t>芜菁</w:t>
      </w:r>
      <w:r>
        <w:rPr>
          <w:rFonts w:hint="default" w:ascii="Times New Roman" w:hAnsi="Times New Roman" w:eastAsia="宋体" w:cs="Times New Roman"/>
          <w:bCs/>
          <w:sz w:val="24"/>
          <w:lang w:val="en-US" w:eastAsia="zh-CN"/>
        </w:rPr>
        <w:t>等</w:t>
      </w:r>
      <w:r>
        <w:rPr>
          <w:rFonts w:hint="eastAsia" w:ascii="Times New Roman" w:hAnsi="Times New Roman" w:eastAsia="宋体" w:cs="Times New Roman"/>
          <w:bCs/>
          <w:sz w:val="24"/>
          <w:lang w:val="en-US" w:eastAsia="zh-CN"/>
        </w:rPr>
        <w:t>虫害</w:t>
      </w:r>
      <w:r>
        <w:rPr>
          <w:rFonts w:hint="default" w:ascii="Times New Roman" w:hAnsi="Times New Roman" w:eastAsia="宋体" w:cs="Times New Roman"/>
          <w:sz w:val="24"/>
          <w:szCs w:val="24"/>
          <w:lang w:val="en-US" w:eastAsia="zh-CN"/>
        </w:rPr>
        <w:t>。</w:t>
      </w:r>
    </w:p>
    <w:p w14:paraId="4659EDEB">
      <w:pPr>
        <w:pStyle w:val="22"/>
        <w:keepNext w:val="0"/>
        <w:keepLines w:val="0"/>
        <w:pageBreakBefore w:val="0"/>
        <w:widowControl/>
        <w:numPr>
          <w:ilvl w:val="0"/>
          <w:numId w:val="6"/>
        </w:numPr>
        <w:kinsoku/>
        <w:wordWrap/>
        <w:overflowPunct/>
        <w:topLinePunct w:val="0"/>
        <w:autoSpaceDE w:val="0"/>
        <w:autoSpaceDN w:val="0"/>
        <w:bidi w:val="0"/>
        <w:adjustRightInd/>
        <w:snapToGrid/>
        <w:spacing w:before="219" w:beforeLines="50" w:line="240" w:lineRule="auto"/>
        <w:ind w:left="0" w:leftChars="0" w:firstLine="482" w:firstLineChars="200"/>
        <w:textAlignment w:val="auto"/>
        <w:rPr>
          <w:rFonts w:hint="default" w:ascii="Times New Roman" w:hAnsi="Times New Roman" w:eastAsia="宋体" w:cs="Times New Roman"/>
          <w:b/>
          <w:bCs/>
          <w:color w:val="000000"/>
          <w:kern w:val="2"/>
          <w:sz w:val="24"/>
          <w:szCs w:val="24"/>
          <w:lang w:val="en-US" w:eastAsia="zh-CN"/>
        </w:rPr>
      </w:pPr>
      <w:r>
        <w:rPr>
          <w:rFonts w:hint="default" w:ascii="Times New Roman" w:hAnsi="Times New Roman" w:eastAsia="宋体" w:cs="Times New Roman"/>
          <w:b/>
          <w:bCs/>
          <w:color w:val="000000"/>
          <w:kern w:val="2"/>
          <w:sz w:val="24"/>
          <w:szCs w:val="24"/>
          <w:lang w:val="en-US" w:eastAsia="zh-CN"/>
        </w:rPr>
        <w:t>农业防控</w:t>
      </w:r>
    </w:p>
    <w:p w14:paraId="692A04E1">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中药材立枯病、根腐病、枯萎病等根茎类病害属典型土传病害，可以在土壤中长期存活，如同类药材在同一地块长期连作，不但会造成土壤养分缺失，同时将导致病害菌源在土壤中逐年积累加重。一般药材连续种植二三年后，要选择不同科，或不同属性作物进行轮作倒茬，这样对抑制土传病虫，活跃土壤微生物，充分利用土壤肥力十分重要。</w:t>
      </w:r>
    </w:p>
    <w:p w14:paraId="17C35D11">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中药材的许多病虫害最初</w:t>
      </w:r>
      <w:r>
        <w:rPr>
          <w:rFonts w:hint="eastAsia" w:eastAsia="宋体" w:cs="Times New Roman"/>
          <w:sz w:val="24"/>
          <w:szCs w:val="24"/>
          <w:lang w:val="en-US" w:eastAsia="zh-CN"/>
        </w:rPr>
        <w:t>来自</w:t>
      </w:r>
      <w:r>
        <w:rPr>
          <w:rFonts w:hint="default" w:ascii="Times New Roman" w:hAnsi="Times New Roman" w:eastAsia="宋体" w:cs="Times New Roman"/>
          <w:sz w:val="24"/>
          <w:szCs w:val="24"/>
          <w:lang w:val="en-US" w:eastAsia="zh-CN"/>
        </w:rPr>
        <w:t>未腐熟的农家肥，未腐熟肥料的气味会吸引一些害虫如金龟子前来产卵，并为害虫如蛴螬提供一定食料，因此一定要施用腐熟的有机肥。施用化肥应测土配方，科学施用，把苗养壮，提高抗性。中药材部分病虫在土壤中生活及越冬，每年药材收获后，要及时深耕晒垄，在改善土壤理化性状的同时，捣毁病虫越冬巢穴，降低田间病虫菌源基数；另外，在中药材生长期，要及时中耕除草，减少虫菌源的桥梁寄主。</w:t>
      </w:r>
    </w:p>
    <w:p w14:paraId="6348822C">
      <w:pPr>
        <w:pStyle w:val="22"/>
        <w:keepNext w:val="0"/>
        <w:keepLines w:val="0"/>
        <w:pageBreakBefore w:val="0"/>
        <w:widowControl/>
        <w:numPr>
          <w:ilvl w:val="0"/>
          <w:numId w:val="6"/>
        </w:numPr>
        <w:kinsoku/>
        <w:wordWrap/>
        <w:overflowPunct/>
        <w:topLinePunct w:val="0"/>
        <w:autoSpaceDE w:val="0"/>
        <w:autoSpaceDN w:val="0"/>
        <w:bidi w:val="0"/>
        <w:adjustRightInd/>
        <w:snapToGrid/>
        <w:spacing w:before="219" w:beforeLines="50" w:line="240" w:lineRule="auto"/>
        <w:ind w:left="0" w:leftChars="0" w:firstLine="482" w:firstLineChars="200"/>
        <w:textAlignment w:val="auto"/>
        <w:rPr>
          <w:rFonts w:hint="default" w:ascii="Times New Roman" w:hAnsi="Times New Roman" w:eastAsia="宋体" w:cs="Times New Roman"/>
          <w:b/>
          <w:bCs/>
          <w:color w:val="000000"/>
          <w:kern w:val="2"/>
          <w:sz w:val="24"/>
          <w:szCs w:val="24"/>
          <w:lang w:val="en-US" w:eastAsia="zh-CN"/>
        </w:rPr>
      </w:pPr>
      <w:r>
        <w:rPr>
          <w:rFonts w:hint="eastAsia" w:ascii="Times New Roman" w:hAnsi="Times New Roman" w:eastAsia="宋体" w:cs="Times New Roman"/>
          <w:b/>
          <w:bCs/>
          <w:color w:val="000000"/>
          <w:kern w:val="2"/>
          <w:sz w:val="24"/>
          <w:szCs w:val="24"/>
          <w:lang w:val="en-US" w:eastAsia="zh-CN"/>
        </w:rPr>
        <w:t>物理防控</w:t>
      </w:r>
    </w:p>
    <w:p w14:paraId="7CC39491">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应用昆虫信息素、杀虫灯、诱虫板等诱杀防治中药材害虫。利用害虫对灯光的趋性，在田间设置频振式杀虫灯或太阳能杀虫灯，诱杀金龟子、小地老虎等害虫。利用害虫的趋色性，于4月中旬</w:t>
      </w:r>
      <w:r>
        <w:rPr>
          <w:rFonts w:hint="eastAsia" w:eastAsia="宋体" w:cs="Times New Roman"/>
          <w:sz w:val="24"/>
          <w:szCs w:val="24"/>
          <w:lang w:val="en-US" w:eastAsia="zh-CN"/>
        </w:rPr>
        <w:t>～</w:t>
      </w:r>
      <w:r>
        <w:rPr>
          <w:rFonts w:hint="default" w:ascii="Times New Roman" w:hAnsi="Times New Roman" w:eastAsia="宋体" w:cs="Times New Roman"/>
          <w:sz w:val="24"/>
          <w:szCs w:val="24"/>
          <w:lang w:val="en-US" w:eastAsia="zh-CN"/>
        </w:rPr>
        <w:t>8月底，在田间均匀悬挂黄粘虫胶板30 块</w:t>
      </w:r>
      <w:r>
        <w:rPr>
          <w:rFonts w:hint="eastAsia" w:ascii="Times New Roman" w:hAnsi="Times New Roman" w:eastAsia="宋体" w:cs="Times New Roman"/>
          <w:sz w:val="24"/>
          <w:szCs w:val="24"/>
          <w:lang w:val="en-US" w:eastAsia="zh-CN"/>
        </w:rPr>
        <w:t>左右</w:t>
      </w:r>
      <w:r>
        <w:rPr>
          <w:rFonts w:hint="default" w:ascii="Times New Roman" w:hAnsi="Times New Roman" w:eastAsia="宋体" w:cs="Times New Roman"/>
          <w:sz w:val="24"/>
          <w:szCs w:val="24"/>
          <w:lang w:val="en-US" w:eastAsia="zh-CN"/>
        </w:rPr>
        <w:t>，重点诱杀蚜虫。</w:t>
      </w:r>
    </w:p>
    <w:p w14:paraId="1E9D3AE4">
      <w:pPr>
        <w:pStyle w:val="22"/>
        <w:keepNext w:val="0"/>
        <w:keepLines w:val="0"/>
        <w:pageBreakBefore w:val="0"/>
        <w:widowControl/>
        <w:numPr>
          <w:ilvl w:val="0"/>
          <w:numId w:val="6"/>
        </w:numPr>
        <w:kinsoku/>
        <w:wordWrap/>
        <w:overflowPunct/>
        <w:topLinePunct w:val="0"/>
        <w:autoSpaceDE w:val="0"/>
        <w:autoSpaceDN w:val="0"/>
        <w:bidi w:val="0"/>
        <w:adjustRightInd/>
        <w:snapToGrid/>
        <w:spacing w:before="219" w:beforeLines="50" w:line="240" w:lineRule="auto"/>
        <w:ind w:left="0" w:leftChars="0" w:firstLine="482" w:firstLineChars="200"/>
        <w:textAlignment w:val="auto"/>
        <w:rPr>
          <w:rFonts w:hint="default" w:ascii="Times New Roman" w:hAnsi="Times New Roman" w:eastAsia="宋体" w:cs="Times New Roman"/>
          <w:b/>
          <w:bCs/>
          <w:color w:val="000000"/>
          <w:kern w:val="2"/>
          <w:sz w:val="24"/>
          <w:szCs w:val="24"/>
          <w:lang w:val="en-US" w:eastAsia="zh-CN"/>
        </w:rPr>
      </w:pPr>
      <w:r>
        <w:rPr>
          <w:rFonts w:hint="eastAsia" w:ascii="Times New Roman" w:hAnsi="Times New Roman" w:eastAsia="宋体" w:cs="Times New Roman"/>
          <w:b/>
          <w:bCs/>
          <w:color w:val="000000"/>
          <w:kern w:val="2"/>
          <w:sz w:val="24"/>
          <w:szCs w:val="24"/>
          <w:lang w:val="en-US" w:eastAsia="zh-CN"/>
        </w:rPr>
        <w:t>生物防控</w:t>
      </w:r>
    </w:p>
    <w:p w14:paraId="10B281CB">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利用天敌捕杀害虫，生物农药防治病虫害。</w:t>
      </w:r>
    </w:p>
    <w:p w14:paraId="471437FB">
      <w:pPr>
        <w:numPr>
          <w:ilvl w:val="0"/>
          <w:numId w:val="5"/>
        </w:numPr>
        <w:adjustRightInd w:val="0"/>
        <w:snapToGrid w:val="0"/>
        <w:spacing w:line="580" w:lineRule="exact"/>
        <w:ind w:firstLine="480" w:firstLineChars="200"/>
        <w:rPr>
          <w:rFonts w:hint="default" w:ascii="Times New Roman" w:hAnsi="Times New Roman" w:eastAsia="宋体" w:cs="Times New Roman"/>
          <w:b w:val="0"/>
          <w:bCs w:val="0"/>
          <w:color w:val="000000"/>
          <w:kern w:val="2"/>
          <w:sz w:val="24"/>
          <w:szCs w:val="24"/>
          <w:lang w:val="en-US" w:eastAsia="zh-CN"/>
        </w:rPr>
      </w:pPr>
      <w:r>
        <w:rPr>
          <w:rFonts w:hint="eastAsia" w:ascii="Times New Roman" w:hAnsi="Times New Roman" w:eastAsia="宋体" w:cs="Times New Roman"/>
          <w:b w:val="0"/>
          <w:bCs w:val="0"/>
          <w:color w:val="000000"/>
          <w:kern w:val="2"/>
          <w:sz w:val="24"/>
          <w:szCs w:val="24"/>
          <w:lang w:val="en-US" w:eastAsia="zh-CN"/>
        </w:rPr>
        <w:t>主要技术指标确定依据、验证方法及预期效果</w:t>
      </w:r>
    </w:p>
    <w:p w14:paraId="3F951520">
      <w:pPr>
        <w:pStyle w:val="4"/>
        <w:keepNext w:val="0"/>
        <w:keepLines w:val="0"/>
        <w:pageBreakBefore w:val="0"/>
        <w:widowControl w:val="0"/>
        <w:numPr>
          <w:ilvl w:val="0"/>
          <w:numId w:val="7"/>
        </w:numPr>
        <w:kinsoku/>
        <w:wordWrap/>
        <w:overflowPunct/>
        <w:topLinePunct w:val="0"/>
        <w:autoSpaceDE/>
        <w:autoSpaceDN/>
        <w:bidi w:val="0"/>
        <w:adjustRightInd/>
        <w:snapToGrid/>
        <w:spacing w:after="0"/>
        <w:ind w:left="0" w:leftChars="0" w:firstLine="482" w:firstLineChars="200"/>
        <w:textAlignment w:val="auto"/>
        <w:rPr>
          <w:rFonts w:eastAsia="仿宋_GB2312"/>
          <w:b/>
          <w:bCs/>
          <w:sz w:val="24"/>
          <w:szCs w:val="24"/>
        </w:rPr>
      </w:pPr>
      <w:r>
        <w:rPr>
          <w:rFonts w:hint="eastAsia" w:eastAsia="仿宋_GB2312"/>
          <w:b/>
          <w:bCs/>
          <w:sz w:val="24"/>
          <w:szCs w:val="24"/>
        </w:rPr>
        <w:t>防控对象</w:t>
      </w:r>
      <w:r>
        <w:rPr>
          <w:rFonts w:eastAsia="仿宋_GB2312"/>
          <w:b/>
          <w:bCs/>
          <w:sz w:val="24"/>
          <w:szCs w:val="24"/>
        </w:rPr>
        <w:t>（5）</w:t>
      </w:r>
    </w:p>
    <w:p w14:paraId="1EDDB059">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本标准将</w:t>
      </w:r>
      <w:r>
        <w:rPr>
          <w:rFonts w:hint="eastAsia" w:ascii="Times New Roman" w:hAnsi="Times New Roman" w:eastAsia="宋体" w:cs="Times New Roman"/>
          <w:sz w:val="24"/>
          <w:szCs w:val="24"/>
          <w:lang w:val="en-US" w:eastAsia="zh-CN"/>
        </w:rPr>
        <w:t>防控对象</w:t>
      </w:r>
      <w:r>
        <w:rPr>
          <w:rFonts w:hint="default" w:ascii="Times New Roman" w:hAnsi="Times New Roman" w:eastAsia="宋体" w:cs="Times New Roman"/>
          <w:sz w:val="24"/>
          <w:szCs w:val="24"/>
          <w:lang w:val="en-US" w:eastAsia="zh-CN"/>
        </w:rPr>
        <w:t>确定为</w:t>
      </w:r>
      <w:r>
        <w:rPr>
          <w:rFonts w:hint="eastAsia" w:eastAsia="宋体" w:cs="Times New Roman"/>
          <w:sz w:val="24"/>
          <w:szCs w:val="24"/>
          <w:lang w:val="en-US" w:eastAsia="zh-CN"/>
        </w:rPr>
        <w:t>反枝苋、田旋花、狗尾草、</w:t>
      </w:r>
      <w:r>
        <w:rPr>
          <w:rFonts w:hint="eastAsia" w:ascii="Times New Roman" w:hAnsi="Times New Roman" w:eastAsia="宋体" w:cs="Times New Roman"/>
          <w:sz w:val="24"/>
          <w:szCs w:val="24"/>
          <w:lang w:val="en-US" w:eastAsia="zh-CN"/>
        </w:rPr>
        <w:t>播娘蒿、野燕麦等</w:t>
      </w:r>
      <w:r>
        <w:rPr>
          <w:rFonts w:hint="default" w:ascii="Times New Roman" w:hAnsi="Times New Roman" w:eastAsia="宋体" w:cs="Times New Roman"/>
          <w:sz w:val="24"/>
          <w:szCs w:val="24"/>
          <w:lang w:val="en-US" w:eastAsia="zh-CN"/>
        </w:rPr>
        <w:t>农田杂草、叶枯病、根腐病、蛴螬等地下害虫、蚜虫、豆芫菁等。</w:t>
      </w:r>
    </w:p>
    <w:p w14:paraId="0E9EE88A">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确定依据</w:t>
      </w:r>
      <w:r>
        <w:rPr>
          <w:rFonts w:hint="eastAsia" w:ascii="Times New Roman" w:hAnsi="Times New Roman" w:eastAsia="宋体" w:cs="Times New Roman"/>
          <w:sz w:val="24"/>
          <w:szCs w:val="24"/>
          <w:lang w:val="en-US" w:eastAsia="zh-CN"/>
        </w:rPr>
        <w:t>：起草工作组成员赴山西省运城市新绛县、山西晋中平遥县、山西省汾阳市经作所中药材基地对远志病虫害发生防治情况进行了调研，确定了我省远志的主要草害和病虫害</w:t>
      </w:r>
      <w:r>
        <w:rPr>
          <w:rFonts w:hint="default" w:ascii="Times New Roman" w:hAnsi="Times New Roman" w:eastAsia="宋体" w:cs="Times New Roman"/>
          <w:sz w:val="24"/>
          <w:szCs w:val="24"/>
          <w:lang w:val="en-US" w:eastAsia="zh-CN"/>
        </w:rPr>
        <w:t>。</w:t>
      </w:r>
    </w:p>
    <w:p w14:paraId="4277AF2F">
      <w:pPr>
        <w:pStyle w:val="20"/>
        <w:rPr>
          <w:rFonts w:hint="eastAsia" w:ascii="Times New Roman" w:hAnsi="Times New Roman" w:eastAsia="楷体" w:cs="Times New Roman"/>
          <w:bCs/>
          <w:sz w:val="24"/>
          <w:lang w:val="en-US" w:eastAsia="zh-CN"/>
        </w:rPr>
      </w:pPr>
      <w:r>
        <w:rPr>
          <w:rFonts w:hint="eastAsia" w:ascii="Times New Roman" w:hAnsi="Times New Roman" w:eastAsia="楷体" w:cs="Times New Roman"/>
          <w:bCs/>
          <w:sz w:val="24"/>
          <w:lang w:val="en-US" w:eastAsia="zh-CN"/>
        </w:rPr>
        <w:drawing>
          <wp:inline distT="0" distB="0" distL="114300" distR="114300">
            <wp:extent cx="2551430" cy="2794000"/>
            <wp:effectExtent l="0" t="0" r="8890" b="10160"/>
            <wp:docPr id="1" name="图片 1" descr="81954d2103e66f9de3dcd2092aef1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1954d2103e66f9de3dcd2092aef16a"/>
                    <pic:cNvPicPr>
                      <a:picLocks noChangeAspect="1"/>
                    </pic:cNvPicPr>
                  </pic:nvPicPr>
                  <pic:blipFill>
                    <a:blip r:embed="rId5"/>
                    <a:stretch>
                      <a:fillRect/>
                    </a:stretch>
                  </pic:blipFill>
                  <pic:spPr>
                    <a:xfrm>
                      <a:off x="0" y="0"/>
                      <a:ext cx="2551430" cy="2794000"/>
                    </a:xfrm>
                    <a:prstGeom prst="rect">
                      <a:avLst/>
                    </a:prstGeom>
                  </pic:spPr>
                </pic:pic>
              </a:graphicData>
            </a:graphic>
          </wp:inline>
        </w:drawing>
      </w:r>
      <w:r>
        <w:rPr>
          <w:rFonts w:hint="eastAsia" w:ascii="Times New Roman" w:hAnsi="Times New Roman" w:eastAsia="楷体" w:cs="Times New Roman"/>
          <w:bCs/>
          <w:sz w:val="24"/>
          <w:lang w:val="en-US" w:eastAsia="zh-CN"/>
        </w:rPr>
        <w:drawing>
          <wp:inline distT="0" distB="0" distL="114300" distR="114300">
            <wp:extent cx="2597785" cy="2785110"/>
            <wp:effectExtent l="0" t="0" r="8255" b="3810"/>
            <wp:docPr id="2" name="图片 2" descr="8a20712662a24f4af9d847125144b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8a20712662a24f4af9d847125144b76"/>
                    <pic:cNvPicPr>
                      <a:picLocks noChangeAspect="1"/>
                    </pic:cNvPicPr>
                  </pic:nvPicPr>
                  <pic:blipFill>
                    <a:blip r:embed="rId6"/>
                    <a:stretch>
                      <a:fillRect/>
                    </a:stretch>
                  </pic:blipFill>
                  <pic:spPr>
                    <a:xfrm>
                      <a:off x="0" y="0"/>
                      <a:ext cx="2597785" cy="2785110"/>
                    </a:xfrm>
                    <a:prstGeom prst="rect">
                      <a:avLst/>
                    </a:prstGeom>
                  </pic:spPr>
                </pic:pic>
              </a:graphicData>
            </a:graphic>
          </wp:inline>
        </w:drawing>
      </w:r>
    </w:p>
    <w:p w14:paraId="6A1261BF">
      <w:pPr>
        <w:pStyle w:val="20"/>
        <w:rPr>
          <w:rFonts w:hint="eastAsia" w:ascii="Times New Roman" w:hAnsi="Times New Roman" w:eastAsia="楷体" w:cs="Times New Roman"/>
          <w:bCs/>
          <w:sz w:val="24"/>
          <w:lang w:val="en-US" w:eastAsia="zh-CN"/>
        </w:rPr>
      </w:pPr>
      <w:r>
        <w:rPr>
          <w:rFonts w:hint="eastAsia" w:ascii="Times New Roman" w:hAnsi="Times New Roman" w:eastAsia="楷体" w:cs="Times New Roman"/>
          <w:bCs/>
          <w:sz w:val="24"/>
          <w:lang w:val="en-US" w:eastAsia="zh-CN"/>
        </w:rPr>
        <w:drawing>
          <wp:inline distT="0" distB="0" distL="114300" distR="114300">
            <wp:extent cx="2571115" cy="2887345"/>
            <wp:effectExtent l="0" t="0" r="4445" b="8255"/>
            <wp:docPr id="3" name="图片 3" descr="b9776a51ba1348544e3ee539c0198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b9776a51ba1348544e3ee539c01988c"/>
                    <pic:cNvPicPr>
                      <a:picLocks noChangeAspect="1"/>
                    </pic:cNvPicPr>
                  </pic:nvPicPr>
                  <pic:blipFill>
                    <a:blip r:embed="rId7"/>
                    <a:stretch>
                      <a:fillRect/>
                    </a:stretch>
                  </pic:blipFill>
                  <pic:spPr>
                    <a:xfrm>
                      <a:off x="0" y="0"/>
                      <a:ext cx="2571115" cy="2887345"/>
                    </a:xfrm>
                    <a:prstGeom prst="rect">
                      <a:avLst/>
                    </a:prstGeom>
                  </pic:spPr>
                </pic:pic>
              </a:graphicData>
            </a:graphic>
          </wp:inline>
        </w:drawing>
      </w:r>
      <w:r>
        <w:rPr>
          <w:rFonts w:hint="eastAsia" w:ascii="Times New Roman" w:hAnsi="Times New Roman" w:eastAsia="楷体" w:cs="Times New Roman"/>
          <w:bCs/>
          <w:sz w:val="24"/>
          <w:lang w:val="en-US" w:eastAsia="zh-CN"/>
        </w:rPr>
        <w:drawing>
          <wp:inline distT="0" distB="0" distL="114300" distR="114300">
            <wp:extent cx="2578735" cy="2891790"/>
            <wp:effectExtent l="0" t="0" r="12065" b="3810"/>
            <wp:docPr id="4" name="图片 4" descr="1e3ce9bb3c6afeb5e2b8d6feb033c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e3ce9bb3c6afeb5e2b8d6feb033c77"/>
                    <pic:cNvPicPr>
                      <a:picLocks noChangeAspect="1"/>
                    </pic:cNvPicPr>
                  </pic:nvPicPr>
                  <pic:blipFill>
                    <a:blip r:embed="rId8"/>
                    <a:stretch>
                      <a:fillRect/>
                    </a:stretch>
                  </pic:blipFill>
                  <pic:spPr>
                    <a:xfrm>
                      <a:off x="0" y="0"/>
                      <a:ext cx="2578735" cy="2891790"/>
                    </a:xfrm>
                    <a:prstGeom prst="rect">
                      <a:avLst/>
                    </a:prstGeom>
                  </pic:spPr>
                </pic:pic>
              </a:graphicData>
            </a:graphic>
          </wp:inline>
        </w:drawing>
      </w:r>
    </w:p>
    <w:p w14:paraId="27A40899">
      <w:pPr>
        <w:pStyle w:val="20"/>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 xml:space="preserve">图1. </w:t>
      </w:r>
      <w:r>
        <w:rPr>
          <w:rFonts w:hint="eastAsia" w:ascii="Times New Roman" w:hAnsi="Times New Roman" w:eastAsia="宋体" w:cs="Times New Roman"/>
          <w:kern w:val="2"/>
          <w:sz w:val="24"/>
          <w:szCs w:val="24"/>
          <w:lang w:val="en-US" w:eastAsia="zh-CN" w:bidi="ar-SA"/>
        </w:rPr>
        <w:t>远志田杂草</w:t>
      </w:r>
    </w:p>
    <w:p w14:paraId="701F6C93">
      <w:pPr>
        <w:pStyle w:val="4"/>
        <w:keepNext w:val="0"/>
        <w:keepLines w:val="0"/>
        <w:pageBreakBefore w:val="0"/>
        <w:widowControl w:val="0"/>
        <w:numPr>
          <w:ilvl w:val="0"/>
          <w:numId w:val="7"/>
        </w:numPr>
        <w:kinsoku/>
        <w:wordWrap/>
        <w:overflowPunct/>
        <w:topLinePunct w:val="0"/>
        <w:autoSpaceDE/>
        <w:autoSpaceDN/>
        <w:bidi w:val="0"/>
        <w:adjustRightInd/>
        <w:snapToGrid/>
        <w:spacing w:after="0"/>
        <w:ind w:left="0" w:leftChars="0" w:firstLine="482" w:firstLineChars="200"/>
        <w:textAlignment w:val="auto"/>
        <w:rPr>
          <w:rFonts w:hint="default" w:ascii="Times New Roman" w:hAnsi="Times New Roman" w:eastAsia="仿宋_GB2312" w:cs="Times New Roman"/>
          <w:b/>
          <w:bCs/>
          <w:sz w:val="24"/>
          <w:szCs w:val="24"/>
          <w:lang w:val="en-US" w:eastAsia="zh-CN"/>
        </w:rPr>
      </w:pPr>
      <w:r>
        <w:rPr>
          <w:rFonts w:hint="eastAsia" w:ascii="Times New Roman" w:hAnsi="Times New Roman" w:eastAsia="仿宋_GB2312" w:cs="Times New Roman"/>
          <w:b/>
          <w:bCs/>
          <w:sz w:val="24"/>
          <w:szCs w:val="24"/>
          <w:lang w:val="en-US" w:eastAsia="zh-CN"/>
        </w:rPr>
        <w:t>杂草防除（</w:t>
      </w:r>
      <w:r>
        <w:rPr>
          <w:rFonts w:hint="default" w:ascii="Times New Roman" w:hAnsi="Times New Roman" w:eastAsia="仿宋_GB2312" w:cs="Times New Roman"/>
          <w:b/>
          <w:bCs/>
          <w:sz w:val="24"/>
          <w:szCs w:val="24"/>
          <w:lang w:val="en-US" w:eastAsia="zh-CN"/>
        </w:rPr>
        <w:t>6.5</w:t>
      </w:r>
      <w:r>
        <w:rPr>
          <w:rFonts w:hint="eastAsia" w:ascii="Times New Roman" w:hAnsi="Times New Roman" w:eastAsia="仿宋_GB2312" w:cs="Times New Roman"/>
          <w:b/>
          <w:bCs/>
          <w:sz w:val="24"/>
          <w:szCs w:val="24"/>
          <w:lang w:val="en-US" w:eastAsia="zh-CN"/>
        </w:rPr>
        <w:t>）</w:t>
      </w:r>
    </w:p>
    <w:p w14:paraId="15540478">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确定依据：在</w:t>
      </w:r>
      <w:r>
        <w:rPr>
          <w:rFonts w:hint="eastAsia" w:eastAsia="宋体" w:cs="Times New Roman"/>
          <w:sz w:val="24"/>
          <w:szCs w:val="24"/>
          <w:lang w:val="en-US" w:eastAsia="zh-CN"/>
        </w:rPr>
        <w:t>远志</w:t>
      </w:r>
      <w:r>
        <w:rPr>
          <w:rFonts w:hint="eastAsia" w:ascii="Times New Roman" w:hAnsi="Times New Roman" w:eastAsia="宋体" w:cs="Times New Roman"/>
          <w:sz w:val="24"/>
          <w:szCs w:val="24"/>
          <w:lang w:val="en-US" w:eastAsia="zh-CN"/>
        </w:rPr>
        <w:t>田</w:t>
      </w:r>
      <w:r>
        <w:rPr>
          <w:rFonts w:hint="default" w:ascii="Times New Roman" w:hAnsi="Times New Roman" w:eastAsia="宋体" w:cs="Times New Roman"/>
          <w:sz w:val="24"/>
          <w:szCs w:val="24"/>
          <w:lang w:val="en-US" w:eastAsia="zh-CN"/>
        </w:rPr>
        <w:t>捡取</w:t>
      </w:r>
      <w:r>
        <w:rPr>
          <w:rFonts w:hint="eastAsia" w:ascii="Times New Roman" w:hAnsi="Times New Roman" w:eastAsia="宋体" w:cs="Times New Roman"/>
          <w:sz w:val="24"/>
          <w:szCs w:val="24"/>
          <w:lang w:val="en-US" w:eastAsia="zh-CN"/>
        </w:rPr>
        <w:t>病株、落叶、杂草带回</w:t>
      </w:r>
      <w:r>
        <w:rPr>
          <w:rFonts w:hint="default" w:ascii="Times New Roman" w:hAnsi="Times New Roman" w:eastAsia="宋体" w:cs="Times New Roman"/>
          <w:sz w:val="24"/>
          <w:szCs w:val="24"/>
          <w:lang w:val="en-US" w:eastAsia="zh-CN"/>
        </w:rPr>
        <w:t>实验室，</w:t>
      </w:r>
      <w:r>
        <w:rPr>
          <w:rFonts w:hint="eastAsia" w:ascii="Times New Roman" w:hAnsi="Times New Roman" w:eastAsia="宋体" w:cs="Times New Roman"/>
          <w:sz w:val="24"/>
          <w:szCs w:val="24"/>
          <w:lang w:val="en-US" w:eastAsia="zh-CN"/>
        </w:rPr>
        <w:t>进行镜检</w:t>
      </w:r>
      <w:r>
        <w:rPr>
          <w:rFonts w:hint="default" w:ascii="Times New Roman" w:hAnsi="Times New Roman" w:eastAsia="宋体" w:cs="Times New Roman"/>
          <w:sz w:val="24"/>
          <w:szCs w:val="24"/>
          <w:lang w:val="en-US" w:eastAsia="zh-CN"/>
        </w:rPr>
        <w:t>。</w:t>
      </w:r>
    </w:p>
    <w:p w14:paraId="78838A1C">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结果显示：</w:t>
      </w:r>
      <w:r>
        <w:rPr>
          <w:rFonts w:hint="eastAsia" w:ascii="Times New Roman" w:hAnsi="Times New Roman" w:eastAsia="宋体" w:cs="Times New Roman"/>
          <w:sz w:val="24"/>
          <w:szCs w:val="24"/>
          <w:lang w:val="en-US" w:eastAsia="zh-CN"/>
        </w:rPr>
        <w:t>几乎所有病株都带有病菌、大于70</w:t>
      </w:r>
      <w:r>
        <w:rPr>
          <w:rFonts w:hint="default" w:ascii="Times New Roman" w:hAnsi="Times New Roman" w:eastAsia="宋体" w:cs="Times New Roman"/>
          <w:sz w:val="24"/>
          <w:szCs w:val="24"/>
          <w:lang w:val="en-US" w:eastAsia="zh-CN"/>
        </w:rPr>
        <w:t>%的</w:t>
      </w:r>
      <w:r>
        <w:rPr>
          <w:rFonts w:hint="eastAsia" w:ascii="Times New Roman" w:hAnsi="Times New Roman" w:eastAsia="宋体" w:cs="Times New Roman"/>
          <w:sz w:val="24"/>
          <w:szCs w:val="24"/>
          <w:lang w:val="en-US" w:eastAsia="zh-CN"/>
        </w:rPr>
        <w:t>落叶和杂草</w:t>
      </w:r>
      <w:r>
        <w:rPr>
          <w:rFonts w:hint="default" w:ascii="Times New Roman" w:hAnsi="Times New Roman" w:eastAsia="宋体" w:cs="Times New Roman"/>
          <w:sz w:val="24"/>
          <w:szCs w:val="24"/>
          <w:lang w:val="en-US" w:eastAsia="zh-CN"/>
        </w:rPr>
        <w:t>带有病菌。</w:t>
      </w:r>
    </w:p>
    <w:p w14:paraId="71F14D96">
      <w:pPr>
        <w:adjustRightInd w:val="0"/>
        <w:snapToGrid w:val="0"/>
        <w:spacing w:line="580" w:lineRule="exact"/>
        <w:ind w:firstLine="480" w:firstLineChars="200"/>
        <w:rPr>
          <w:rFonts w:hint="default"/>
          <w:b/>
          <w:bCs/>
          <w:sz w:val="28"/>
          <w:szCs w:val="28"/>
          <w:lang w:val="en-US" w:eastAsia="zh-CN"/>
        </w:rPr>
      </w:pPr>
      <w:r>
        <w:rPr>
          <w:rFonts w:hint="default" w:ascii="Times New Roman" w:hAnsi="Times New Roman" w:eastAsia="宋体" w:cs="Times New Roman"/>
          <w:sz w:val="24"/>
          <w:szCs w:val="24"/>
          <w:lang w:val="en-US" w:eastAsia="zh-CN"/>
        </w:rPr>
        <w:t>验证方法：202</w:t>
      </w:r>
      <w:r>
        <w:rPr>
          <w:rFonts w:hint="eastAsia" w:eastAsia="宋体" w:cs="Times New Roman"/>
          <w:sz w:val="24"/>
          <w:szCs w:val="24"/>
          <w:lang w:val="en-US" w:eastAsia="zh-CN"/>
        </w:rPr>
        <w:t>3</w:t>
      </w:r>
      <w:r>
        <w:rPr>
          <w:rFonts w:hint="eastAsia" w:ascii="Times New Roman" w:hAnsi="Times New Roman" w:eastAsia="宋体" w:cs="Times New Roman"/>
          <w:sz w:val="24"/>
          <w:szCs w:val="24"/>
          <w:lang w:val="en-US" w:eastAsia="zh-CN"/>
        </w:rPr>
        <w:t>~202</w:t>
      </w:r>
      <w:r>
        <w:rPr>
          <w:rFonts w:hint="eastAsia" w:eastAsia="宋体" w:cs="Times New Roman"/>
          <w:sz w:val="24"/>
          <w:szCs w:val="24"/>
          <w:lang w:val="en-US" w:eastAsia="zh-CN"/>
        </w:rPr>
        <w:t>4</w:t>
      </w:r>
      <w:r>
        <w:rPr>
          <w:rFonts w:hint="default" w:ascii="Times New Roman" w:hAnsi="Times New Roman" w:eastAsia="宋体" w:cs="Times New Roman"/>
          <w:sz w:val="24"/>
          <w:szCs w:val="24"/>
          <w:lang w:val="en-US" w:eastAsia="zh-CN"/>
        </w:rPr>
        <w:t>年，在</w:t>
      </w:r>
      <w:r>
        <w:rPr>
          <w:rFonts w:hint="eastAsia" w:eastAsia="宋体" w:cs="Times New Roman"/>
          <w:sz w:val="24"/>
          <w:szCs w:val="24"/>
          <w:lang w:val="en-US" w:eastAsia="zh-CN"/>
        </w:rPr>
        <w:t>汾阳经作所</w:t>
      </w:r>
      <w:r>
        <w:rPr>
          <w:rFonts w:hint="default" w:ascii="Times New Roman" w:hAnsi="Times New Roman" w:eastAsia="宋体" w:cs="Times New Roman"/>
          <w:sz w:val="24"/>
          <w:szCs w:val="24"/>
          <w:lang w:val="en-US" w:eastAsia="zh-CN"/>
        </w:rPr>
        <w:t>种植区，及时清理</w:t>
      </w:r>
      <w:r>
        <w:rPr>
          <w:rFonts w:hint="eastAsia" w:ascii="Times New Roman" w:hAnsi="Times New Roman" w:eastAsia="宋体" w:cs="Times New Roman"/>
          <w:sz w:val="24"/>
          <w:szCs w:val="24"/>
          <w:lang w:val="en-US" w:eastAsia="zh-CN"/>
        </w:rPr>
        <w:t>病株</w:t>
      </w:r>
      <w:r>
        <w:rPr>
          <w:rFonts w:hint="default" w:ascii="Times New Roman" w:hAnsi="Times New Roman" w:eastAsia="宋体" w:cs="Times New Roman"/>
          <w:sz w:val="24"/>
          <w:szCs w:val="24"/>
          <w:lang w:val="en-US" w:eastAsia="zh-CN"/>
        </w:rPr>
        <w:t>、落叶、</w:t>
      </w:r>
      <w:r>
        <w:rPr>
          <w:rFonts w:hint="eastAsia" w:ascii="Times New Roman" w:hAnsi="Times New Roman" w:eastAsia="宋体" w:cs="Times New Roman"/>
          <w:sz w:val="24"/>
          <w:szCs w:val="24"/>
          <w:lang w:val="en-US" w:eastAsia="zh-CN"/>
        </w:rPr>
        <w:t>杂草</w:t>
      </w:r>
      <w:r>
        <w:rPr>
          <w:rFonts w:hint="default" w:ascii="Times New Roman" w:hAnsi="Times New Roman" w:eastAsia="宋体" w:cs="Times New Roman"/>
          <w:sz w:val="24"/>
          <w:szCs w:val="24"/>
          <w:lang w:val="en-US" w:eastAsia="zh-CN"/>
        </w:rPr>
        <w:t>等，对防治</w:t>
      </w:r>
      <w:r>
        <w:rPr>
          <w:rFonts w:hint="eastAsia" w:eastAsia="宋体" w:cs="Times New Roman"/>
          <w:sz w:val="24"/>
          <w:szCs w:val="24"/>
          <w:lang w:val="en-US" w:eastAsia="zh-CN"/>
        </w:rPr>
        <w:t>远志</w:t>
      </w:r>
      <w:r>
        <w:rPr>
          <w:rFonts w:hint="eastAsia" w:ascii="Times New Roman" w:hAnsi="Times New Roman" w:eastAsia="宋体" w:cs="Times New Roman"/>
          <w:sz w:val="24"/>
          <w:szCs w:val="24"/>
          <w:lang w:val="en-US" w:eastAsia="zh-CN"/>
        </w:rPr>
        <w:t>病害效果较好</w:t>
      </w:r>
      <w:r>
        <w:rPr>
          <w:rFonts w:hint="default" w:ascii="Times New Roman" w:hAnsi="Times New Roman" w:eastAsia="宋体" w:cs="Times New Roman"/>
          <w:sz w:val="24"/>
          <w:szCs w:val="24"/>
          <w:lang w:val="en-US" w:eastAsia="zh-CN"/>
        </w:rPr>
        <w:t>。</w:t>
      </w:r>
    </w:p>
    <w:p w14:paraId="7F94BF31">
      <w:pPr>
        <w:pStyle w:val="4"/>
        <w:keepNext w:val="0"/>
        <w:keepLines w:val="0"/>
        <w:pageBreakBefore w:val="0"/>
        <w:widowControl w:val="0"/>
        <w:numPr>
          <w:ilvl w:val="0"/>
          <w:numId w:val="7"/>
        </w:numPr>
        <w:kinsoku/>
        <w:wordWrap/>
        <w:overflowPunct/>
        <w:topLinePunct w:val="0"/>
        <w:autoSpaceDE/>
        <w:autoSpaceDN/>
        <w:bidi w:val="0"/>
        <w:adjustRightInd/>
        <w:snapToGrid/>
        <w:spacing w:after="0"/>
        <w:ind w:left="0" w:leftChars="0" w:firstLine="482" w:firstLineChars="200"/>
        <w:textAlignment w:val="auto"/>
        <w:rPr>
          <w:rFonts w:hint="eastAsia" w:ascii="Times New Roman" w:hAnsi="Times New Roman" w:eastAsia="仿宋_GB2312" w:cs="Times New Roman"/>
          <w:b/>
          <w:bCs/>
          <w:sz w:val="24"/>
          <w:szCs w:val="24"/>
          <w:lang w:val="en-US" w:eastAsia="zh-CN"/>
        </w:rPr>
      </w:pPr>
      <w:r>
        <w:rPr>
          <w:rFonts w:hint="eastAsia" w:ascii="Times New Roman" w:hAnsi="Times New Roman" w:eastAsia="仿宋_GB2312" w:cs="Times New Roman"/>
          <w:b/>
          <w:bCs/>
          <w:sz w:val="24"/>
          <w:szCs w:val="24"/>
          <w:lang w:val="en-US" w:eastAsia="zh-CN"/>
        </w:rPr>
        <w:t>生物防控（</w:t>
      </w:r>
      <w:r>
        <w:rPr>
          <w:rFonts w:hint="eastAsia" w:ascii="Times New Roman" w:hAnsi="Times New Roman" w:cs="Times New Roman"/>
          <w:b/>
          <w:bCs/>
          <w:sz w:val="24"/>
          <w:szCs w:val="24"/>
          <w:lang w:val="en-US" w:eastAsia="zh-CN"/>
        </w:rPr>
        <w:t>8.2</w:t>
      </w:r>
      <w:r>
        <w:rPr>
          <w:rFonts w:hint="eastAsia" w:ascii="Times New Roman" w:hAnsi="Times New Roman" w:eastAsia="仿宋_GB2312" w:cs="Times New Roman"/>
          <w:b/>
          <w:bCs/>
          <w:sz w:val="24"/>
          <w:szCs w:val="24"/>
          <w:lang w:val="en-US" w:eastAsia="zh-CN"/>
        </w:rPr>
        <w:t>）</w:t>
      </w:r>
    </w:p>
    <w:p w14:paraId="2828641E">
      <w:pPr>
        <w:pStyle w:val="20"/>
        <w:rPr>
          <w:rFonts w:hint="eastAsia" w:eastAsia="宋体" w:cs="Times New Roman"/>
          <w:sz w:val="24"/>
          <w:szCs w:val="24"/>
          <w:lang w:val="en-US" w:eastAsia="zh-CN"/>
        </w:rPr>
      </w:pPr>
      <w:r>
        <w:rPr>
          <w:rFonts w:hint="eastAsia" w:eastAsia="宋体" w:cs="Times New Roman"/>
          <w:sz w:val="24"/>
          <w:szCs w:val="24"/>
          <w:lang w:val="en-US" w:eastAsia="zh-CN"/>
        </w:rPr>
        <w:t>远志田无登记用化学农药，通过查阅农药安全使用标准、农药合理使用准则、中国农药信息网、远志田病虫害发生特点和大量田间试验的基础上，筛选出常用生物农药。</w:t>
      </w:r>
    </w:p>
    <w:p w14:paraId="0C9FD72D">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结果显示：远志田可使用</w:t>
      </w:r>
      <w:r>
        <w:rPr>
          <w:rFonts w:hint="default" w:ascii="Times New Roman" w:hAnsi="Times New Roman" w:eastAsia="宋体" w:cs="Times New Roman"/>
          <w:sz w:val="24"/>
          <w:szCs w:val="24"/>
          <w:lang w:val="en-US" w:eastAsia="zh-CN"/>
        </w:rPr>
        <w:t>1 000亿芽孢/g枯草芽孢杆菌或30亿芽孢/g甲基营养型芽孢杆菌可湿性粉剂</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3亿CFU/克的哈茨木霉菌可湿性粉剂</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1.5 %苦参碱可溶液剂</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1 %苦皮藤素水乳剂</w:t>
      </w:r>
      <w:r>
        <w:rPr>
          <w:rFonts w:hint="eastAsia" w:ascii="Times New Roman" w:hAnsi="Times New Roman" w:eastAsia="宋体" w:cs="Times New Roman"/>
          <w:sz w:val="24"/>
          <w:szCs w:val="24"/>
          <w:lang w:val="en-US" w:eastAsia="zh-CN"/>
        </w:rPr>
        <w:t>等防治主要病虫害，田间防效良好。</w:t>
      </w:r>
    </w:p>
    <w:p w14:paraId="45823A12">
      <w:pPr>
        <w:pStyle w:val="20"/>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eastAsia="宋体" w:cs="Times New Roman"/>
          <w:sz w:val="24"/>
          <w:szCs w:val="24"/>
          <w:lang w:val="en-US" w:eastAsia="zh-CN"/>
        </w:rPr>
      </w:pPr>
      <w:r>
        <w:rPr>
          <w:rFonts w:hint="eastAsia" w:ascii="Times New Roman" w:hAnsi="Times New Roman" w:eastAsia="宋体" w:cs="Times New Roman"/>
          <w:bCs/>
          <w:sz w:val="24"/>
          <w:lang w:val="en-US" w:eastAsia="zh-CN"/>
        </w:rPr>
        <w:drawing>
          <wp:inline distT="0" distB="0" distL="114300" distR="114300">
            <wp:extent cx="2730500" cy="2050415"/>
            <wp:effectExtent l="0" t="0" r="12700" b="6985"/>
            <wp:docPr id="6" name="图片 6" descr="fb83c02f8e60a5007324203b04b46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b83c02f8e60a5007324203b04b46a4"/>
                    <pic:cNvPicPr>
                      <a:picLocks noChangeAspect="1"/>
                    </pic:cNvPicPr>
                  </pic:nvPicPr>
                  <pic:blipFill>
                    <a:blip r:embed="rId9"/>
                    <a:srcRect t="11690" r="11789"/>
                    <a:stretch>
                      <a:fillRect/>
                    </a:stretch>
                  </pic:blipFill>
                  <pic:spPr>
                    <a:xfrm>
                      <a:off x="0" y="0"/>
                      <a:ext cx="2730500" cy="2050415"/>
                    </a:xfrm>
                    <a:prstGeom prst="rect">
                      <a:avLst/>
                    </a:prstGeom>
                  </pic:spPr>
                </pic:pic>
              </a:graphicData>
            </a:graphic>
          </wp:inline>
        </w:drawing>
      </w:r>
      <w:r>
        <w:rPr>
          <w:rFonts w:hint="eastAsia" w:eastAsia="宋体" w:cs="Times New Roman"/>
          <w:sz w:val="24"/>
          <w:szCs w:val="24"/>
          <w:lang w:val="en-US" w:eastAsia="zh-CN"/>
        </w:rPr>
        <w:drawing>
          <wp:inline distT="0" distB="0" distL="114300" distR="114300">
            <wp:extent cx="2706370" cy="2054225"/>
            <wp:effectExtent l="0" t="0" r="6350" b="3175"/>
            <wp:docPr id="5" name="图片 5" descr="58ef5b9552c39680e543b9d9bb8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58ef5b9552c39680e543b9d9bb84001"/>
                    <pic:cNvPicPr>
                      <a:picLocks noChangeAspect="1"/>
                    </pic:cNvPicPr>
                  </pic:nvPicPr>
                  <pic:blipFill>
                    <a:blip r:embed="rId10"/>
                    <a:srcRect l="24437" t="32217"/>
                    <a:stretch>
                      <a:fillRect/>
                    </a:stretch>
                  </pic:blipFill>
                  <pic:spPr>
                    <a:xfrm>
                      <a:off x="0" y="0"/>
                      <a:ext cx="2706370" cy="2054225"/>
                    </a:xfrm>
                    <a:prstGeom prst="rect">
                      <a:avLst/>
                    </a:prstGeom>
                  </pic:spPr>
                </pic:pic>
              </a:graphicData>
            </a:graphic>
          </wp:inline>
        </w:drawing>
      </w:r>
    </w:p>
    <w:p w14:paraId="170F4C25">
      <w:pPr>
        <w:pStyle w:val="20"/>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 xml:space="preserve">图2. </w:t>
      </w:r>
      <w:r>
        <w:rPr>
          <w:rFonts w:hint="eastAsia" w:ascii="Times New Roman" w:hAnsi="Times New Roman" w:eastAsia="宋体" w:cs="Times New Roman"/>
          <w:kern w:val="2"/>
          <w:sz w:val="24"/>
          <w:szCs w:val="24"/>
          <w:lang w:val="en-US" w:eastAsia="zh-CN" w:bidi="ar-SA"/>
        </w:rPr>
        <w:t>远志田施药</w:t>
      </w:r>
    </w:p>
    <w:p w14:paraId="5F1C9262">
      <w:pPr>
        <w:keepNext w:val="0"/>
        <w:keepLines w:val="0"/>
        <w:pageBreakBefore w:val="0"/>
        <w:widowControl w:val="0"/>
        <w:numPr>
          <w:ilvl w:val="0"/>
          <w:numId w:val="2"/>
        </w:numPr>
        <w:kinsoku/>
        <w:wordWrap/>
        <w:overflowPunct/>
        <w:topLinePunct w:val="0"/>
        <w:autoSpaceDE/>
        <w:autoSpaceDN/>
        <w:bidi w:val="0"/>
        <w:adjustRightInd w:val="0"/>
        <w:snapToGrid w:val="0"/>
        <w:spacing w:before="219" w:beforeLines="50" w:after="219" w:afterLines="50" w:line="240" w:lineRule="auto"/>
        <w:ind w:firstLine="0" w:firstLineChars="0"/>
        <w:textAlignment w:val="auto"/>
        <w:rPr>
          <w:rFonts w:hint="default" w:ascii="Times New Roman" w:hAnsi="Times New Roman" w:eastAsia="宋体" w:cs="Times New Roman"/>
          <w:b/>
          <w:kern w:val="2"/>
          <w:sz w:val="28"/>
          <w:szCs w:val="28"/>
          <w:lang w:val="en-US" w:eastAsia="zh-CN"/>
        </w:rPr>
      </w:pPr>
      <w:r>
        <w:rPr>
          <w:rFonts w:hint="default" w:ascii="Times New Roman" w:hAnsi="Times New Roman" w:eastAsia="宋体" w:cs="Times New Roman"/>
          <w:b/>
          <w:kern w:val="2"/>
          <w:sz w:val="28"/>
          <w:szCs w:val="28"/>
          <w:lang w:val="en-US" w:eastAsia="zh-CN"/>
        </w:rPr>
        <w:t>预期的社会经济效益</w:t>
      </w:r>
    </w:p>
    <w:p w14:paraId="4210F080">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远志主要病虫害绿色防控技术规程》形成针对远志栽培过程中的主要病虫害的防控技术，坚持绿色的技术体系，确保远志的质量安全与营养价值。该标准的颁布实施，将为我国远志的规模化、标准化、优质高效化生产提供基础性保障；对提高远志全产业链的安全水平，避免禁、限用农药品种乱用现象，减少可用农药用量的技术攻关；对进一步保障粮食作物的健康可持续发展具有重要的意义；可以为社会经济发展带来不可估量的社会效益。</w:t>
      </w:r>
    </w:p>
    <w:p w14:paraId="7BD6BF08">
      <w:pPr>
        <w:keepNext w:val="0"/>
        <w:keepLines w:val="0"/>
        <w:pageBreakBefore w:val="0"/>
        <w:widowControl w:val="0"/>
        <w:numPr>
          <w:ilvl w:val="0"/>
          <w:numId w:val="2"/>
        </w:numPr>
        <w:kinsoku/>
        <w:wordWrap/>
        <w:overflowPunct/>
        <w:topLinePunct w:val="0"/>
        <w:autoSpaceDE/>
        <w:autoSpaceDN/>
        <w:bidi w:val="0"/>
        <w:adjustRightInd w:val="0"/>
        <w:snapToGrid w:val="0"/>
        <w:spacing w:before="219" w:beforeLines="50" w:after="219" w:afterLines="50" w:line="240" w:lineRule="auto"/>
        <w:ind w:firstLine="0" w:firstLineChars="0"/>
        <w:textAlignment w:val="auto"/>
        <w:rPr>
          <w:rFonts w:hint="default" w:ascii="Times New Roman" w:hAnsi="Times New Roman" w:eastAsia="宋体" w:cs="Times New Roman"/>
          <w:b/>
          <w:kern w:val="2"/>
          <w:sz w:val="28"/>
          <w:szCs w:val="28"/>
          <w:lang w:val="en-US" w:eastAsia="zh-CN"/>
        </w:rPr>
      </w:pPr>
      <w:r>
        <w:rPr>
          <w:rFonts w:hint="default" w:ascii="Times New Roman" w:hAnsi="Times New Roman" w:eastAsia="宋体" w:cs="Times New Roman"/>
          <w:b/>
          <w:kern w:val="2"/>
          <w:sz w:val="28"/>
          <w:szCs w:val="28"/>
          <w:lang w:val="en-US" w:eastAsia="zh-CN"/>
        </w:rPr>
        <w:t>重大意见分歧的处理结果和依据</w:t>
      </w:r>
    </w:p>
    <w:p w14:paraId="2566FB67">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本标准广泛征求了有关专家、生产单位和相关部门的意见，并根据本标准制定的原则，采纳了合理的意见和建议，完善本标准的内容和结构。</w:t>
      </w:r>
    </w:p>
    <w:p w14:paraId="66E629D7">
      <w:pPr>
        <w:keepNext w:val="0"/>
        <w:keepLines w:val="0"/>
        <w:pageBreakBefore w:val="0"/>
        <w:widowControl w:val="0"/>
        <w:numPr>
          <w:ilvl w:val="0"/>
          <w:numId w:val="2"/>
        </w:numPr>
        <w:kinsoku/>
        <w:wordWrap/>
        <w:overflowPunct/>
        <w:topLinePunct w:val="0"/>
        <w:autoSpaceDE/>
        <w:autoSpaceDN/>
        <w:bidi w:val="0"/>
        <w:adjustRightInd w:val="0"/>
        <w:snapToGrid w:val="0"/>
        <w:spacing w:before="219" w:beforeLines="50" w:after="219" w:afterLines="50" w:line="240" w:lineRule="auto"/>
        <w:ind w:firstLine="0" w:firstLineChars="0"/>
        <w:textAlignment w:val="auto"/>
        <w:rPr>
          <w:rFonts w:hint="default" w:ascii="Times New Roman" w:hAnsi="Times New Roman" w:eastAsia="宋体" w:cs="Times New Roman"/>
          <w:b/>
          <w:kern w:val="2"/>
          <w:sz w:val="28"/>
          <w:szCs w:val="28"/>
          <w:lang w:val="en-US" w:eastAsia="zh-CN"/>
        </w:rPr>
      </w:pPr>
      <w:r>
        <w:rPr>
          <w:rFonts w:hint="eastAsia" w:ascii="Times New Roman" w:hAnsi="Times New Roman" w:eastAsia="宋体" w:cs="Times New Roman"/>
          <w:b/>
          <w:kern w:val="2"/>
          <w:sz w:val="28"/>
          <w:szCs w:val="28"/>
          <w:lang w:val="en-US" w:eastAsia="zh-CN"/>
        </w:rPr>
        <w:t>作为推荐性标准的建议及理由</w:t>
      </w:r>
    </w:p>
    <w:p w14:paraId="59E0C6CA">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建议本标准作为推荐性地方标准。</w:t>
      </w:r>
    </w:p>
    <w:p w14:paraId="1B0758B7">
      <w:pPr>
        <w:keepNext w:val="0"/>
        <w:keepLines w:val="0"/>
        <w:pageBreakBefore w:val="0"/>
        <w:widowControl w:val="0"/>
        <w:numPr>
          <w:ilvl w:val="0"/>
          <w:numId w:val="2"/>
        </w:numPr>
        <w:kinsoku/>
        <w:wordWrap/>
        <w:overflowPunct/>
        <w:topLinePunct w:val="0"/>
        <w:autoSpaceDE/>
        <w:autoSpaceDN/>
        <w:bidi w:val="0"/>
        <w:adjustRightInd w:val="0"/>
        <w:snapToGrid w:val="0"/>
        <w:spacing w:before="219" w:beforeLines="50" w:after="219" w:afterLines="50" w:line="240" w:lineRule="auto"/>
        <w:ind w:firstLine="0" w:firstLineChars="0"/>
        <w:textAlignment w:val="auto"/>
        <w:rPr>
          <w:rFonts w:hint="default" w:ascii="Times New Roman" w:hAnsi="Times New Roman" w:eastAsia="宋体" w:cs="Times New Roman"/>
          <w:b/>
          <w:kern w:val="2"/>
          <w:sz w:val="28"/>
          <w:szCs w:val="28"/>
        </w:rPr>
      </w:pPr>
      <w:r>
        <w:rPr>
          <w:rFonts w:hint="eastAsia" w:ascii="Times New Roman" w:hAnsi="Times New Roman" w:eastAsia="宋体" w:cs="Times New Roman"/>
          <w:b/>
          <w:kern w:val="2"/>
          <w:sz w:val="28"/>
          <w:szCs w:val="28"/>
          <w:lang w:val="en-US" w:eastAsia="zh-CN"/>
        </w:rPr>
        <w:t>实施</w:t>
      </w:r>
      <w:r>
        <w:rPr>
          <w:rFonts w:hint="default" w:ascii="Times New Roman" w:hAnsi="Times New Roman" w:eastAsia="宋体" w:cs="Times New Roman"/>
          <w:b/>
          <w:kern w:val="2"/>
          <w:sz w:val="28"/>
          <w:szCs w:val="28"/>
        </w:rPr>
        <w:t>标准的</w:t>
      </w:r>
      <w:r>
        <w:rPr>
          <w:rFonts w:hint="eastAsia" w:ascii="Times New Roman" w:hAnsi="Times New Roman" w:eastAsia="宋体" w:cs="Times New Roman"/>
          <w:b/>
          <w:kern w:val="2"/>
          <w:sz w:val="28"/>
          <w:szCs w:val="28"/>
          <w:lang w:val="en-US" w:eastAsia="zh-CN"/>
        </w:rPr>
        <w:t>措施</w:t>
      </w:r>
      <w:r>
        <w:rPr>
          <w:rFonts w:hint="default" w:ascii="Times New Roman" w:hAnsi="Times New Roman" w:eastAsia="宋体" w:cs="Times New Roman"/>
          <w:b/>
          <w:kern w:val="2"/>
          <w:sz w:val="28"/>
          <w:szCs w:val="28"/>
        </w:rPr>
        <w:t>建议</w:t>
      </w:r>
    </w:p>
    <w:p w14:paraId="60AF6596">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本标准批准后应及时发布实施。同时加强对标准的宣传和贯彻，在宣传贯彻和应用中不断收集用户意见和建议，不断修改完善。</w:t>
      </w:r>
    </w:p>
    <w:p w14:paraId="566AD736">
      <w:pPr>
        <w:keepNext w:val="0"/>
        <w:keepLines w:val="0"/>
        <w:pageBreakBefore w:val="0"/>
        <w:widowControl w:val="0"/>
        <w:numPr>
          <w:ilvl w:val="0"/>
          <w:numId w:val="2"/>
        </w:numPr>
        <w:kinsoku/>
        <w:wordWrap/>
        <w:overflowPunct/>
        <w:topLinePunct w:val="0"/>
        <w:autoSpaceDE/>
        <w:autoSpaceDN/>
        <w:bidi w:val="0"/>
        <w:adjustRightInd w:val="0"/>
        <w:snapToGrid w:val="0"/>
        <w:spacing w:before="219" w:beforeLines="50" w:after="219" w:afterLines="50" w:line="240" w:lineRule="auto"/>
        <w:ind w:firstLine="0" w:firstLineChars="0"/>
        <w:textAlignment w:val="auto"/>
        <w:rPr>
          <w:rFonts w:hint="default" w:ascii="Times New Roman" w:hAnsi="Times New Roman" w:eastAsia="宋体" w:cs="Times New Roman"/>
          <w:sz w:val="32"/>
          <w:szCs w:val="32"/>
        </w:rPr>
      </w:pPr>
      <w:r>
        <w:rPr>
          <w:rFonts w:hint="default" w:ascii="Times New Roman" w:hAnsi="Times New Roman" w:eastAsia="宋体" w:cs="Times New Roman"/>
          <w:b/>
          <w:kern w:val="2"/>
          <w:sz w:val="28"/>
          <w:szCs w:val="28"/>
        </w:rPr>
        <w:t>其他应予说明的事项</w:t>
      </w:r>
    </w:p>
    <w:p w14:paraId="63A98D18">
      <w:pPr>
        <w:adjustRightInd w:val="0"/>
        <w:snapToGrid w:val="0"/>
        <w:spacing w:line="580" w:lineRule="exact"/>
        <w:ind w:firstLine="480" w:firstLineChars="200"/>
        <w:rPr>
          <w:rFonts w:hint="default" w:ascii="Times New Roman" w:hAnsi="Times New Roman" w:eastAsia="宋体" w:cs="Times New Roman"/>
          <w:sz w:val="24"/>
          <w:szCs w:val="24"/>
          <w:lang w:val="en-US" w:eastAsia="zh-CN"/>
        </w:rPr>
        <w:sectPr>
          <w:footerReference r:id="rId3" w:type="default"/>
          <w:pgSz w:w="11906" w:h="16838"/>
          <w:pgMar w:top="2098" w:right="1474" w:bottom="1701" w:left="1588" w:header="851" w:footer="992" w:gutter="0"/>
          <w:pgBorders>
            <w:top w:val="none" w:sz="0" w:space="0"/>
            <w:left w:val="none" w:sz="0" w:space="0"/>
            <w:bottom w:val="none" w:sz="0" w:space="0"/>
            <w:right w:val="none" w:sz="0" w:space="0"/>
          </w:pgBorders>
          <w:cols w:space="720" w:num="1"/>
          <w:docGrid w:type="lines" w:linePitch="435" w:charSpace="0"/>
        </w:sectPr>
      </w:pPr>
      <w:r>
        <w:rPr>
          <w:rFonts w:hint="default" w:ascii="Times New Roman" w:hAnsi="Times New Roman" w:eastAsia="宋体" w:cs="Times New Roman"/>
          <w:sz w:val="24"/>
          <w:szCs w:val="24"/>
          <w:lang w:val="en-US" w:eastAsia="zh-CN"/>
        </w:rPr>
        <w:t>无。</w:t>
      </w:r>
    </w:p>
    <w:p w14:paraId="344A13DF">
      <w:pPr>
        <w:snapToGrid w:val="0"/>
        <w:spacing w:line="360" w:lineRule="auto"/>
        <w:jc w:val="center"/>
        <w:rPr>
          <w:rFonts w:hint="eastAsia" w:ascii="宋体" w:hAnsi="宋体"/>
          <w:sz w:val="44"/>
          <w:szCs w:val="44"/>
        </w:rPr>
      </w:pPr>
      <w:r>
        <w:rPr>
          <w:rFonts w:hint="eastAsia" w:ascii="宋体" w:hAnsi="宋体"/>
          <w:sz w:val="44"/>
          <w:szCs w:val="44"/>
        </w:rPr>
        <w:t>山西省省级地方标准意见汇总处理表</w:t>
      </w:r>
    </w:p>
    <w:p w14:paraId="25C8832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sz w:val="28"/>
        </w:rPr>
      </w:pPr>
      <w:r>
        <w:rPr>
          <w:rFonts w:hint="eastAsia"/>
          <w:sz w:val="28"/>
        </w:rPr>
        <w:t>起草单位：</w:t>
      </w:r>
      <w:r>
        <w:rPr>
          <w:rFonts w:hint="eastAsia"/>
          <w:sz w:val="28"/>
          <w:lang w:val="en-US" w:eastAsia="zh-CN"/>
        </w:rPr>
        <w:t xml:space="preserve">山西农业大学                           </w:t>
      </w:r>
      <w:r>
        <w:rPr>
          <w:rFonts w:hint="eastAsia"/>
          <w:sz w:val="28"/>
        </w:rPr>
        <w:t xml:space="preserve"> </w:t>
      </w:r>
      <w:r>
        <w:rPr>
          <w:rFonts w:hint="eastAsia"/>
          <w:sz w:val="28"/>
          <w:lang w:val="en-US" w:eastAsia="zh-CN"/>
        </w:rPr>
        <w:t xml:space="preserve">             </w:t>
      </w:r>
      <w:r>
        <w:rPr>
          <w:rFonts w:hint="eastAsia"/>
          <w:sz w:val="28"/>
        </w:rPr>
        <w:t>承办人：</w:t>
      </w:r>
      <w:r>
        <w:rPr>
          <w:rFonts w:hint="eastAsia"/>
          <w:sz w:val="28"/>
          <w:lang w:val="en-US" w:eastAsia="zh-CN"/>
        </w:rPr>
        <w:t>王彬</w:t>
      </w:r>
      <w:r>
        <w:rPr>
          <w:rFonts w:hint="eastAsia"/>
          <w:sz w:val="28"/>
        </w:rPr>
        <w:t xml:space="preserve"> </w:t>
      </w:r>
    </w:p>
    <w:p w14:paraId="7A16C28B">
      <w:pPr>
        <w:keepNext w:val="0"/>
        <w:keepLines w:val="0"/>
        <w:pageBreakBefore w:val="0"/>
        <w:widowControl w:val="0"/>
        <w:kinsoku/>
        <w:wordWrap/>
        <w:overflowPunct/>
        <w:topLinePunct w:val="0"/>
        <w:autoSpaceDE/>
        <w:autoSpaceDN/>
        <w:bidi w:val="0"/>
        <w:adjustRightInd/>
        <w:snapToGrid w:val="0"/>
        <w:spacing w:line="240" w:lineRule="auto"/>
        <w:textAlignment w:val="auto"/>
        <w:rPr>
          <w:sz w:val="28"/>
        </w:rPr>
      </w:pPr>
      <w:r>
        <w:rPr>
          <w:rFonts w:hint="eastAsia"/>
          <w:sz w:val="28"/>
          <w:lang w:val="en-US" w:eastAsia="zh-CN"/>
        </w:rPr>
        <w:t>联系</w:t>
      </w:r>
      <w:r>
        <w:rPr>
          <w:rFonts w:hint="eastAsia"/>
          <w:sz w:val="28"/>
        </w:rPr>
        <w:t>电话：</w:t>
      </w:r>
      <w:r>
        <w:rPr>
          <w:rFonts w:hint="eastAsia"/>
          <w:sz w:val="28"/>
          <w:lang w:val="en-US" w:eastAsia="zh-CN"/>
        </w:rPr>
        <w:t>15383518777</w:t>
      </w:r>
      <w:r>
        <w:rPr>
          <w:rFonts w:hint="eastAsia"/>
          <w:sz w:val="28"/>
        </w:rPr>
        <w:t xml:space="preserve"> </w:t>
      </w:r>
      <w:r>
        <w:rPr>
          <w:rFonts w:hint="eastAsia"/>
          <w:sz w:val="28"/>
          <w:lang w:val="en-US" w:eastAsia="zh-CN"/>
        </w:rPr>
        <w:t xml:space="preserve">                                         填写时间：</w:t>
      </w:r>
      <w:r>
        <w:rPr>
          <w:rFonts w:hint="eastAsia"/>
          <w:sz w:val="28"/>
          <w:szCs w:val="28"/>
        </w:rPr>
        <w:t xml:space="preserve"> 20</w:t>
      </w:r>
      <w:r>
        <w:rPr>
          <w:rFonts w:hint="eastAsia"/>
          <w:sz w:val="28"/>
          <w:szCs w:val="28"/>
          <w:lang w:val="en-US" w:eastAsia="zh-CN"/>
        </w:rPr>
        <w:t>24</w:t>
      </w:r>
      <w:r>
        <w:rPr>
          <w:rFonts w:hint="eastAsia"/>
          <w:sz w:val="28"/>
          <w:szCs w:val="28"/>
        </w:rPr>
        <w:t>年</w:t>
      </w:r>
      <w:r>
        <w:rPr>
          <w:rFonts w:hint="eastAsia"/>
          <w:sz w:val="28"/>
          <w:szCs w:val="28"/>
          <w:lang w:val="en-US" w:eastAsia="zh-CN"/>
        </w:rPr>
        <w:t>5</w:t>
      </w:r>
      <w:r>
        <w:rPr>
          <w:rFonts w:hint="eastAsia"/>
          <w:sz w:val="28"/>
          <w:szCs w:val="28"/>
        </w:rPr>
        <w:t>月</w:t>
      </w:r>
      <w:r>
        <w:rPr>
          <w:rFonts w:hint="eastAsia"/>
          <w:sz w:val="28"/>
          <w:szCs w:val="28"/>
          <w:lang w:val="en-US" w:eastAsia="zh-CN"/>
        </w:rPr>
        <w:t>14</w:t>
      </w:r>
      <w:r>
        <w:rPr>
          <w:rFonts w:hint="eastAsia"/>
          <w:sz w:val="28"/>
          <w:szCs w:val="28"/>
        </w:rPr>
        <w:t>日</w:t>
      </w:r>
    </w:p>
    <w:tbl>
      <w:tblPr>
        <w:tblStyle w:val="10"/>
        <w:tblpPr w:leftFromText="180" w:rightFromText="180" w:vertAnchor="text" w:horzAnchor="page" w:tblpX="1531" w:tblpY="759"/>
        <w:tblOverlap w:val="never"/>
        <w:tblW w:w="138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505"/>
        <w:gridCol w:w="3019"/>
        <w:gridCol w:w="2360"/>
        <w:gridCol w:w="1813"/>
        <w:gridCol w:w="3662"/>
      </w:tblGrid>
      <w:tr w14:paraId="4A070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40" w:type="dxa"/>
            <w:noWrap w:val="0"/>
            <w:vAlign w:val="center"/>
          </w:tcPr>
          <w:p w14:paraId="2684A0EF">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序号</w:t>
            </w:r>
          </w:p>
        </w:tc>
        <w:tc>
          <w:tcPr>
            <w:tcW w:w="2505" w:type="dxa"/>
            <w:noWrap w:val="0"/>
            <w:vAlign w:val="center"/>
          </w:tcPr>
          <w:p w14:paraId="7CF99996">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地方标准</w:t>
            </w:r>
          </w:p>
          <w:p w14:paraId="6D3DC596">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章条编号</w:t>
            </w:r>
          </w:p>
        </w:tc>
        <w:tc>
          <w:tcPr>
            <w:tcW w:w="3019" w:type="dxa"/>
            <w:noWrap w:val="0"/>
            <w:vAlign w:val="center"/>
          </w:tcPr>
          <w:p w14:paraId="26970B15">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意见内容</w:t>
            </w:r>
          </w:p>
        </w:tc>
        <w:tc>
          <w:tcPr>
            <w:tcW w:w="2360" w:type="dxa"/>
            <w:noWrap w:val="0"/>
            <w:vAlign w:val="center"/>
          </w:tcPr>
          <w:p w14:paraId="1D077B7A">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提出单位</w:t>
            </w:r>
          </w:p>
        </w:tc>
        <w:tc>
          <w:tcPr>
            <w:tcW w:w="1813" w:type="dxa"/>
            <w:noWrap w:val="0"/>
            <w:vAlign w:val="center"/>
          </w:tcPr>
          <w:p w14:paraId="38C4183E">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处理意见</w:t>
            </w:r>
          </w:p>
          <w:p w14:paraId="187F4EE5">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（采纳/不采纳）</w:t>
            </w:r>
          </w:p>
        </w:tc>
        <w:tc>
          <w:tcPr>
            <w:tcW w:w="3662" w:type="dxa"/>
            <w:noWrap w:val="0"/>
            <w:vAlign w:val="center"/>
          </w:tcPr>
          <w:p w14:paraId="19F07DDC">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意见处理说明</w:t>
            </w:r>
          </w:p>
          <w:p w14:paraId="2312A19C">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（不采纳理由等）</w:t>
            </w:r>
          </w:p>
        </w:tc>
      </w:tr>
      <w:tr w14:paraId="5E69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40" w:type="dxa"/>
            <w:noWrap w:val="0"/>
            <w:vAlign w:val="center"/>
          </w:tcPr>
          <w:p w14:paraId="463C16D8">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w:t>
            </w:r>
          </w:p>
        </w:tc>
        <w:tc>
          <w:tcPr>
            <w:tcW w:w="2505" w:type="dxa"/>
            <w:shd w:val="clear"/>
            <w:noWrap w:val="0"/>
            <w:vAlign w:val="center"/>
          </w:tcPr>
          <w:p w14:paraId="663EF96B">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rPr>
              <w:t>1范围</w:t>
            </w:r>
          </w:p>
        </w:tc>
        <w:tc>
          <w:tcPr>
            <w:tcW w:w="3019" w:type="dxa"/>
            <w:shd w:val="clear"/>
            <w:noWrap w:val="0"/>
            <w:vAlign w:val="center"/>
          </w:tcPr>
          <w:p w14:paraId="5D0410FD">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rPr>
              <w:t>“本标准”改为“本文件”</w:t>
            </w:r>
          </w:p>
        </w:tc>
        <w:tc>
          <w:tcPr>
            <w:tcW w:w="2360" w:type="dxa"/>
            <w:shd w:val="clear"/>
            <w:noWrap w:val="0"/>
            <w:vAlign w:val="center"/>
          </w:tcPr>
          <w:p w14:paraId="271E9663">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山西农业大学</w:t>
            </w:r>
          </w:p>
        </w:tc>
        <w:tc>
          <w:tcPr>
            <w:tcW w:w="1813" w:type="dxa"/>
            <w:shd w:val="clear"/>
            <w:noWrap w:val="0"/>
            <w:vAlign w:val="center"/>
          </w:tcPr>
          <w:p w14:paraId="4C720BDD">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采纳</w:t>
            </w:r>
          </w:p>
        </w:tc>
        <w:tc>
          <w:tcPr>
            <w:tcW w:w="3662" w:type="dxa"/>
            <w:shd w:val="clear"/>
            <w:noWrap w:val="0"/>
            <w:vAlign w:val="center"/>
          </w:tcPr>
          <w:p w14:paraId="0EB23DC0">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改为“本文件”</w:t>
            </w:r>
          </w:p>
        </w:tc>
      </w:tr>
      <w:tr w14:paraId="404C3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40" w:type="dxa"/>
            <w:noWrap w:val="0"/>
            <w:vAlign w:val="center"/>
          </w:tcPr>
          <w:p w14:paraId="531E360C">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w:t>
            </w:r>
          </w:p>
        </w:tc>
        <w:tc>
          <w:tcPr>
            <w:tcW w:w="2505" w:type="dxa"/>
            <w:shd w:val="clear"/>
            <w:noWrap w:val="0"/>
            <w:vAlign w:val="center"/>
          </w:tcPr>
          <w:p w14:paraId="30D81278">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rPr>
            </w:pPr>
            <w:r>
              <w:rPr>
                <w:rFonts w:hint="eastAsia" w:ascii="Times New Roman" w:hAnsi="Times New Roman" w:cs="Times New Roman"/>
                <w:sz w:val="24"/>
                <w:szCs w:val="24"/>
              </w:rPr>
              <w:t>2规范性引用文件</w:t>
            </w:r>
          </w:p>
          <w:p w14:paraId="6A806B86">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p>
        </w:tc>
        <w:tc>
          <w:tcPr>
            <w:tcW w:w="3019" w:type="dxa"/>
            <w:shd w:val="clear"/>
            <w:noWrap w:val="0"/>
            <w:vAlign w:val="center"/>
          </w:tcPr>
          <w:p w14:paraId="69ACF5DD">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rPr>
            </w:pPr>
            <w:r>
              <w:rPr>
                <w:rFonts w:hint="eastAsia" w:ascii="Times New Roman" w:hAnsi="Times New Roman" w:cs="Times New Roman"/>
                <w:sz w:val="24"/>
                <w:szCs w:val="24"/>
              </w:rPr>
              <w:t>增加“杀虫灯”、“诱虫板”的国标</w:t>
            </w:r>
          </w:p>
          <w:p w14:paraId="333EAFDE">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p>
        </w:tc>
        <w:tc>
          <w:tcPr>
            <w:tcW w:w="2360" w:type="dxa"/>
            <w:shd w:val="clear" w:color="auto" w:fill="auto"/>
            <w:noWrap w:val="0"/>
            <w:vAlign w:val="center"/>
          </w:tcPr>
          <w:p w14:paraId="67EFA551">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山西农业大学</w:t>
            </w:r>
          </w:p>
        </w:tc>
        <w:tc>
          <w:tcPr>
            <w:tcW w:w="1813" w:type="dxa"/>
            <w:shd w:val="clear" w:color="auto" w:fill="auto"/>
            <w:noWrap w:val="0"/>
            <w:vAlign w:val="center"/>
          </w:tcPr>
          <w:p w14:paraId="428B16D0">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采纳</w:t>
            </w:r>
          </w:p>
        </w:tc>
        <w:tc>
          <w:tcPr>
            <w:tcW w:w="3662" w:type="dxa"/>
            <w:shd w:val="clear"/>
            <w:noWrap w:val="0"/>
            <w:vAlign w:val="center"/>
          </w:tcPr>
          <w:p w14:paraId="091F9085">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引用“</w:t>
            </w:r>
            <w:r>
              <w:rPr>
                <w:rFonts w:hint="default" w:ascii="Times New Roman" w:hAnsi="Times New Roman" w:cs="Times New Roman"/>
                <w:sz w:val="24"/>
                <w:szCs w:val="24"/>
              </w:rPr>
              <w:t>GB/T 24689.2</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植物保护机械 杀虫灯</w:t>
            </w:r>
            <w:r>
              <w:rPr>
                <w:rFonts w:hint="eastAsia" w:ascii="Times New Roman" w:hAnsi="Times New Roman" w:cs="Times New Roman"/>
                <w:sz w:val="24"/>
                <w:szCs w:val="24"/>
                <w:lang w:val="en-US" w:eastAsia="zh-CN"/>
              </w:rPr>
              <w:t>”和“</w:t>
            </w:r>
            <w:r>
              <w:rPr>
                <w:rFonts w:hint="default" w:ascii="Times New Roman" w:hAnsi="Times New Roman" w:cs="Times New Roman"/>
                <w:sz w:val="24"/>
                <w:szCs w:val="24"/>
              </w:rPr>
              <w:t xml:space="preserve">GB/T 24689.4 </w:t>
            </w:r>
            <w:r>
              <w:rPr>
                <w:rFonts w:hint="default" w:ascii="Times New Roman" w:hAnsi="Times New Roman" w:cs="Times New Roman"/>
                <w:sz w:val="24"/>
                <w:szCs w:val="24"/>
                <w:lang w:val="en-US" w:eastAsia="zh-CN"/>
              </w:rPr>
              <w:t>植物保护机械 诱虫板</w:t>
            </w:r>
            <w:r>
              <w:rPr>
                <w:rFonts w:hint="eastAsia" w:ascii="Times New Roman" w:hAnsi="Times New Roman" w:cs="Times New Roman"/>
                <w:sz w:val="24"/>
                <w:szCs w:val="24"/>
                <w:lang w:val="en-US" w:eastAsia="zh-CN"/>
              </w:rPr>
              <w:t>”</w:t>
            </w:r>
          </w:p>
        </w:tc>
      </w:tr>
      <w:tr w14:paraId="780A3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40" w:type="dxa"/>
            <w:noWrap w:val="0"/>
            <w:vAlign w:val="center"/>
          </w:tcPr>
          <w:p w14:paraId="747A61E9">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3</w:t>
            </w:r>
          </w:p>
        </w:tc>
        <w:tc>
          <w:tcPr>
            <w:tcW w:w="2505" w:type="dxa"/>
            <w:shd w:val="clear" w:color="auto" w:fill="auto"/>
            <w:noWrap w:val="0"/>
            <w:vAlign w:val="center"/>
          </w:tcPr>
          <w:p w14:paraId="7148C772">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3 术语和定义</w:t>
            </w:r>
          </w:p>
        </w:tc>
        <w:tc>
          <w:tcPr>
            <w:tcW w:w="3019" w:type="dxa"/>
            <w:shd w:val="clear" w:color="auto" w:fill="auto"/>
            <w:noWrap w:val="0"/>
            <w:vAlign w:val="center"/>
          </w:tcPr>
          <w:p w14:paraId="087AE10A">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规范术语和定义</w:t>
            </w:r>
          </w:p>
        </w:tc>
        <w:tc>
          <w:tcPr>
            <w:tcW w:w="2360" w:type="dxa"/>
            <w:shd w:val="clear" w:color="auto" w:fill="auto"/>
            <w:noWrap w:val="0"/>
            <w:vAlign w:val="center"/>
          </w:tcPr>
          <w:p w14:paraId="3FF470D1">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山西农业大学、山西省检验检测中心</w:t>
            </w:r>
          </w:p>
        </w:tc>
        <w:tc>
          <w:tcPr>
            <w:tcW w:w="1813" w:type="dxa"/>
            <w:shd w:val="clear" w:color="auto" w:fill="auto"/>
            <w:noWrap w:val="0"/>
            <w:vAlign w:val="center"/>
          </w:tcPr>
          <w:p w14:paraId="6748F561">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采纳</w:t>
            </w:r>
          </w:p>
        </w:tc>
        <w:tc>
          <w:tcPr>
            <w:tcW w:w="3662" w:type="dxa"/>
            <w:shd w:val="clear" w:color="auto" w:fill="auto"/>
            <w:noWrap w:val="0"/>
            <w:vAlign w:val="center"/>
          </w:tcPr>
          <w:p w14:paraId="505BFFB6">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重新定义“远志”。</w:t>
            </w:r>
          </w:p>
        </w:tc>
      </w:tr>
      <w:tr w14:paraId="60867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40" w:type="dxa"/>
            <w:noWrap w:val="0"/>
            <w:vAlign w:val="center"/>
          </w:tcPr>
          <w:p w14:paraId="15ADDBA6">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4</w:t>
            </w:r>
          </w:p>
        </w:tc>
        <w:tc>
          <w:tcPr>
            <w:tcW w:w="2505" w:type="dxa"/>
            <w:shd w:val="clear" w:color="auto" w:fill="auto"/>
            <w:noWrap w:val="0"/>
            <w:vAlign w:val="center"/>
          </w:tcPr>
          <w:p w14:paraId="6C08A29B">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4 防控原则</w:t>
            </w:r>
          </w:p>
        </w:tc>
        <w:tc>
          <w:tcPr>
            <w:tcW w:w="3019" w:type="dxa"/>
            <w:shd w:val="clear" w:color="auto" w:fill="auto"/>
            <w:noWrap w:val="0"/>
            <w:vAlign w:val="center"/>
          </w:tcPr>
          <w:p w14:paraId="5FF181FF">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规范“防控原则”表述。</w:t>
            </w:r>
          </w:p>
        </w:tc>
        <w:tc>
          <w:tcPr>
            <w:tcW w:w="2360" w:type="dxa"/>
            <w:shd w:val="clear" w:color="auto" w:fill="auto"/>
            <w:noWrap w:val="0"/>
            <w:vAlign w:val="center"/>
          </w:tcPr>
          <w:p w14:paraId="76669FB3">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山西农业大学</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山西</w:t>
            </w:r>
            <w:r>
              <w:rPr>
                <w:rFonts w:hint="eastAsia" w:ascii="Times New Roman" w:hAnsi="Times New Roman" w:cs="Times New Roman"/>
                <w:sz w:val="24"/>
                <w:szCs w:val="24"/>
                <w:lang w:val="en-US" w:eastAsia="zh-CN"/>
              </w:rPr>
              <w:t>省种业发展中心</w:t>
            </w:r>
          </w:p>
        </w:tc>
        <w:tc>
          <w:tcPr>
            <w:tcW w:w="1813" w:type="dxa"/>
            <w:shd w:val="clear" w:color="auto" w:fill="auto"/>
            <w:noWrap w:val="0"/>
            <w:vAlign w:val="center"/>
          </w:tcPr>
          <w:p w14:paraId="2071C596">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采纳</w:t>
            </w:r>
          </w:p>
        </w:tc>
        <w:tc>
          <w:tcPr>
            <w:tcW w:w="3662" w:type="dxa"/>
            <w:shd w:val="clear" w:color="auto" w:fill="auto"/>
            <w:noWrap w:val="0"/>
            <w:vAlign w:val="center"/>
          </w:tcPr>
          <w:p w14:paraId="18459E9E">
            <w:pPr>
              <w:keepNext w:val="0"/>
              <w:keepLines w:val="0"/>
              <w:pageBreakBefore w:val="0"/>
              <w:kinsoku/>
              <w:overflowPunct/>
              <w:topLinePunct w:val="0"/>
              <w:autoSpaceDE/>
              <w:autoSpaceDN/>
              <w:bidi w:val="0"/>
              <w:adjustRightInd/>
              <w:snapToGrid w:val="0"/>
              <w:spacing w:line="240" w:lineRule="auto"/>
              <w:jc w:val="center"/>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重新表述“</w:t>
            </w:r>
            <w:r>
              <w:rPr>
                <w:rFonts w:hint="default" w:ascii="Times New Roman" w:hAnsi="Times New Roman" w:cs="Times New Roman"/>
                <w:sz w:val="24"/>
                <w:szCs w:val="24"/>
                <w:lang w:val="en-US" w:eastAsia="zh-CN"/>
              </w:rPr>
              <w:t>防控原则</w:t>
            </w:r>
            <w:r>
              <w:rPr>
                <w:rFonts w:hint="eastAsia" w:ascii="Times New Roman" w:hAnsi="Times New Roman" w:cs="Times New Roman"/>
                <w:sz w:val="24"/>
                <w:szCs w:val="24"/>
                <w:lang w:val="en-US" w:eastAsia="zh-CN"/>
              </w:rPr>
              <w:t>”。</w:t>
            </w:r>
          </w:p>
        </w:tc>
      </w:tr>
      <w:tr w14:paraId="5B5F3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40" w:type="dxa"/>
            <w:noWrap w:val="0"/>
            <w:vAlign w:val="center"/>
          </w:tcPr>
          <w:p w14:paraId="6721EA5E">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5</w:t>
            </w:r>
          </w:p>
        </w:tc>
        <w:tc>
          <w:tcPr>
            <w:tcW w:w="2505" w:type="dxa"/>
            <w:shd w:val="clear" w:color="auto" w:fill="auto"/>
            <w:noWrap w:val="0"/>
            <w:vAlign w:val="center"/>
          </w:tcPr>
          <w:p w14:paraId="2A8A7385">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9 </w:t>
            </w:r>
            <w:r>
              <w:rPr>
                <w:rFonts w:hint="eastAsia" w:ascii="Times New Roman" w:hAnsi="Times New Roman" w:cs="Times New Roman"/>
                <w:sz w:val="24"/>
                <w:szCs w:val="24"/>
              </w:rPr>
              <w:t>化学防控</w:t>
            </w:r>
          </w:p>
        </w:tc>
        <w:tc>
          <w:tcPr>
            <w:tcW w:w="3019" w:type="dxa"/>
            <w:shd w:val="clear" w:color="auto" w:fill="auto"/>
            <w:noWrap w:val="0"/>
            <w:vAlign w:val="center"/>
          </w:tcPr>
          <w:p w14:paraId="3E4CC674">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rPr>
              <w:t>推荐药剂需在“农药登记公告”中逐项核实</w:t>
            </w:r>
          </w:p>
        </w:tc>
        <w:tc>
          <w:tcPr>
            <w:tcW w:w="2360" w:type="dxa"/>
            <w:shd w:val="clear" w:color="auto" w:fill="auto"/>
            <w:noWrap w:val="0"/>
            <w:vAlign w:val="center"/>
          </w:tcPr>
          <w:p w14:paraId="7BED5261">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山西农业大学</w:t>
            </w:r>
          </w:p>
        </w:tc>
        <w:tc>
          <w:tcPr>
            <w:tcW w:w="1813" w:type="dxa"/>
            <w:shd w:val="clear" w:color="auto" w:fill="auto"/>
            <w:noWrap w:val="0"/>
            <w:vAlign w:val="center"/>
          </w:tcPr>
          <w:p w14:paraId="18D27BC6">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采纳</w:t>
            </w:r>
          </w:p>
        </w:tc>
        <w:tc>
          <w:tcPr>
            <w:tcW w:w="3662" w:type="dxa"/>
            <w:shd w:val="clear" w:color="auto" w:fill="auto"/>
            <w:noWrap w:val="0"/>
            <w:vAlign w:val="center"/>
          </w:tcPr>
          <w:p w14:paraId="7A083492">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经查，远志尚无登记用化学农药，删除“9 </w:t>
            </w:r>
            <w:r>
              <w:rPr>
                <w:rFonts w:hint="eastAsia" w:ascii="Times New Roman" w:hAnsi="Times New Roman" w:cs="Times New Roman"/>
                <w:sz w:val="24"/>
                <w:szCs w:val="24"/>
              </w:rPr>
              <w:t>化学防控</w:t>
            </w:r>
            <w:r>
              <w:rPr>
                <w:rFonts w:hint="eastAsia" w:ascii="Times New Roman" w:hAnsi="Times New Roman" w:cs="Times New Roman"/>
                <w:sz w:val="24"/>
                <w:szCs w:val="24"/>
                <w:lang w:val="en-US" w:eastAsia="zh-CN"/>
              </w:rPr>
              <w:t>”</w:t>
            </w:r>
          </w:p>
        </w:tc>
      </w:tr>
      <w:tr w14:paraId="50E05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40" w:type="dxa"/>
            <w:noWrap w:val="0"/>
            <w:vAlign w:val="center"/>
          </w:tcPr>
          <w:p w14:paraId="6D2CB857">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6</w:t>
            </w:r>
          </w:p>
        </w:tc>
        <w:tc>
          <w:tcPr>
            <w:tcW w:w="2505" w:type="dxa"/>
            <w:shd w:val="clear" w:color="auto" w:fill="auto"/>
            <w:noWrap w:val="0"/>
            <w:vAlign w:val="center"/>
          </w:tcPr>
          <w:p w14:paraId="6650C599">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全文</w:t>
            </w:r>
          </w:p>
        </w:tc>
        <w:tc>
          <w:tcPr>
            <w:tcW w:w="3019" w:type="dxa"/>
            <w:shd w:val="clear" w:color="auto" w:fill="auto"/>
            <w:noWrap w:val="0"/>
            <w:vAlign w:val="center"/>
          </w:tcPr>
          <w:p w14:paraId="3B69B1F1">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精简，前后对应，去掉修饰词汇。</w:t>
            </w:r>
          </w:p>
        </w:tc>
        <w:tc>
          <w:tcPr>
            <w:tcW w:w="2360" w:type="dxa"/>
            <w:shd w:val="clear" w:color="auto" w:fill="auto"/>
            <w:noWrap w:val="0"/>
            <w:vAlign w:val="center"/>
          </w:tcPr>
          <w:p w14:paraId="39257283">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山西农业大学</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山西</w:t>
            </w:r>
            <w:r>
              <w:rPr>
                <w:rFonts w:hint="eastAsia" w:ascii="Times New Roman" w:hAnsi="Times New Roman" w:cs="Times New Roman"/>
                <w:sz w:val="24"/>
                <w:szCs w:val="24"/>
                <w:lang w:val="en-US" w:eastAsia="zh-CN"/>
              </w:rPr>
              <w:t>省种业发展中心</w:t>
            </w:r>
          </w:p>
        </w:tc>
        <w:tc>
          <w:tcPr>
            <w:tcW w:w="1813" w:type="dxa"/>
            <w:shd w:val="clear" w:color="auto" w:fill="auto"/>
            <w:noWrap w:val="0"/>
            <w:vAlign w:val="center"/>
          </w:tcPr>
          <w:p w14:paraId="544D7EEC">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采纳</w:t>
            </w:r>
          </w:p>
        </w:tc>
        <w:tc>
          <w:tcPr>
            <w:tcW w:w="3662" w:type="dxa"/>
            <w:shd w:val="clear" w:color="auto" w:fill="auto"/>
            <w:noWrap w:val="0"/>
            <w:vAlign w:val="center"/>
          </w:tcPr>
          <w:p w14:paraId="34E9365A">
            <w:pPr>
              <w:keepNext w:val="0"/>
              <w:keepLines w:val="0"/>
              <w:pageBreakBefore w:val="0"/>
              <w:kinsoku/>
              <w:overflowPunct/>
              <w:topLinePunct w:val="0"/>
              <w:autoSpaceDE/>
              <w:autoSpaceDN/>
              <w:bidi w:val="0"/>
              <w:adjustRightInd/>
              <w:snapToGrid w:val="0"/>
              <w:spacing w:line="240" w:lineRule="auto"/>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按照建议修改内容。</w:t>
            </w:r>
          </w:p>
        </w:tc>
      </w:tr>
      <w:tr w14:paraId="1541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3899" w:type="dxa"/>
            <w:gridSpan w:val="6"/>
            <w:noWrap w:val="0"/>
            <w:vAlign w:val="center"/>
          </w:tcPr>
          <w:p w14:paraId="3A4C80D1">
            <w:pPr>
              <w:keepNext w:val="0"/>
              <w:keepLines w:val="0"/>
              <w:pageBreakBefore w:val="0"/>
              <w:kinsoku/>
              <w:overflowPunct/>
              <w:topLinePunct w:val="0"/>
              <w:autoSpaceDE/>
              <w:autoSpaceDN/>
              <w:bidi w:val="0"/>
              <w:adjustRightInd/>
              <w:snapToGrid w:val="0"/>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说明：1、针对明确回复无意见的单位，请在“意见内容”中注明无意见，在“提出单位”中列出无意见单位的名称。</w:t>
            </w:r>
          </w:p>
          <w:p w14:paraId="23365CE0">
            <w:pPr>
              <w:keepNext w:val="0"/>
              <w:keepLines w:val="0"/>
              <w:pageBreakBefore w:val="0"/>
              <w:kinsoku/>
              <w:overflowPunct/>
              <w:topLinePunct w:val="0"/>
              <w:autoSpaceDE/>
              <w:autoSpaceDN/>
              <w:bidi w:val="0"/>
              <w:adjustRightInd/>
              <w:snapToGrid w:val="0"/>
              <w:spacing w:line="240" w:lineRule="auto"/>
              <w:ind w:leftChars="3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2、发送征求意见稿单位数</w:t>
            </w:r>
            <w:r>
              <w:rPr>
                <w:rFonts w:hint="default" w:ascii="Times New Roman" w:hAnsi="Times New Roman" w:cs="Times New Roman"/>
                <w:sz w:val="24"/>
                <w:szCs w:val="24"/>
                <w:u w:val="single"/>
                <w:lang w:val="en-US" w:eastAsia="zh-CN"/>
              </w:rPr>
              <w:t xml:space="preserve"> 6 </w:t>
            </w:r>
            <w:r>
              <w:rPr>
                <w:rFonts w:hint="default" w:ascii="Times New Roman" w:hAnsi="Times New Roman" w:cs="Times New Roman"/>
                <w:sz w:val="24"/>
                <w:szCs w:val="24"/>
                <w:lang w:val="en-US" w:eastAsia="zh-CN"/>
              </w:rPr>
              <w:t>个；收到征求意见稿回函的单位数</w:t>
            </w:r>
            <w:r>
              <w:rPr>
                <w:rFonts w:hint="default"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lang w:val="en-US" w:eastAsia="zh-CN"/>
              </w:rPr>
              <w:t>4</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lang w:val="en-US" w:eastAsia="zh-CN"/>
              </w:rPr>
              <w:t>个；收到征求意见稿并提出意见的单位数</w:t>
            </w:r>
            <w:r>
              <w:rPr>
                <w:rFonts w:hint="default"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lang w:val="en-US" w:eastAsia="zh-CN"/>
              </w:rPr>
              <w:t>3</w:t>
            </w:r>
            <w:r>
              <w:rPr>
                <w:rFonts w:hint="default" w:ascii="Times New Roman" w:hAnsi="Times New Roman" w:cs="Times New Roman"/>
                <w:sz w:val="24"/>
                <w:szCs w:val="24"/>
                <w:lang w:val="en-US" w:eastAsia="zh-CN"/>
              </w:rPr>
              <w:t>个；没有回函的单位数</w:t>
            </w:r>
            <w:r>
              <w:rPr>
                <w:rFonts w:hint="default"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lang w:val="en-US" w:eastAsia="zh-CN"/>
              </w:rPr>
              <w:t>2</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lang w:val="en-US" w:eastAsia="zh-CN"/>
              </w:rPr>
              <w:t>个；共收到</w:t>
            </w:r>
            <w:r>
              <w:rPr>
                <w:rFonts w:hint="default"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lang w:val="en-US" w:eastAsia="zh-CN"/>
              </w:rPr>
              <w:t>6</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lang w:val="en-US" w:eastAsia="zh-CN"/>
              </w:rPr>
              <w:t>条意见，采纳</w:t>
            </w:r>
            <w:r>
              <w:rPr>
                <w:rFonts w:hint="default"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lang w:val="en-US" w:eastAsia="zh-CN"/>
              </w:rPr>
              <w:t>6</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lang w:val="en-US" w:eastAsia="zh-CN"/>
              </w:rPr>
              <w:t>条意见，部分采纳</w:t>
            </w:r>
            <w:r>
              <w:rPr>
                <w:rFonts w:hint="default" w:ascii="Times New Roman" w:hAnsi="Times New Roman" w:cs="Times New Roman"/>
                <w:sz w:val="24"/>
                <w:szCs w:val="24"/>
                <w:u w:val="single"/>
                <w:lang w:val="en-US" w:eastAsia="zh-CN"/>
              </w:rPr>
              <w:t xml:space="preserve"> 0 </w:t>
            </w:r>
            <w:r>
              <w:rPr>
                <w:rFonts w:hint="default" w:ascii="Times New Roman" w:hAnsi="Times New Roman" w:cs="Times New Roman"/>
                <w:sz w:val="24"/>
                <w:szCs w:val="24"/>
                <w:lang w:val="en-US" w:eastAsia="zh-CN"/>
              </w:rPr>
              <w:t>条意见，未采纳</w:t>
            </w:r>
            <w:r>
              <w:rPr>
                <w:rFonts w:hint="default" w:ascii="Times New Roman" w:hAnsi="Times New Roman" w:cs="Times New Roman"/>
                <w:sz w:val="24"/>
                <w:szCs w:val="24"/>
                <w:u w:val="single"/>
                <w:lang w:val="en-US" w:eastAsia="zh-CN"/>
              </w:rPr>
              <w:t xml:space="preserve"> 0 </w:t>
            </w:r>
            <w:r>
              <w:rPr>
                <w:rFonts w:hint="default" w:ascii="Times New Roman" w:hAnsi="Times New Roman" w:cs="Times New Roman"/>
                <w:sz w:val="24"/>
                <w:szCs w:val="24"/>
                <w:lang w:val="en-US" w:eastAsia="zh-CN"/>
              </w:rPr>
              <w:t>条意见。</w:t>
            </w:r>
          </w:p>
        </w:tc>
      </w:tr>
    </w:tbl>
    <w:p w14:paraId="56E9C4BE">
      <w:pPr>
        <w:spacing w:line="288" w:lineRule="auto"/>
        <w:ind w:firstLine="482" w:firstLineChars="200"/>
        <w:jc w:val="left"/>
        <w:rPr>
          <w:rFonts w:hint="default" w:ascii="Times New Roman" w:hAnsi="Times New Roman" w:eastAsia="宋体" w:cs="Times New Roman"/>
          <w:b/>
          <w:bCs/>
          <w:color w:val="FF0000"/>
          <w:sz w:val="24"/>
          <w:szCs w:val="24"/>
        </w:rPr>
      </w:pPr>
    </w:p>
    <w:sectPr>
      <w:pgSz w:w="16838" w:h="11906" w:orient="landscape"/>
      <w:pgMar w:top="1587" w:right="2098" w:bottom="1474" w:left="1701" w:header="851" w:footer="992" w:gutter="0"/>
      <w:paperSrc/>
      <w:pgBorders>
        <w:top w:val="none" w:sz="0" w:space="0"/>
        <w:left w:val="none" w:sz="0" w:space="0"/>
        <w:bottom w:val="none" w:sz="0" w:space="0"/>
        <w:right w:val="none" w:sz="0" w:space="0"/>
      </w:pgBorders>
      <w:cols w:space="720" w:num="1"/>
      <w:rtlGutter w:val="0"/>
      <w:docGrid w:type="lines" w:linePitch="44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1" w:usb1="080E0000" w:usb2="00000010" w:usb3="00000000" w:csb0="00040000"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52F90">
    <w:pPr>
      <w:pStyle w:val="7"/>
      <w:jc w:val="center"/>
    </w:pPr>
    <w:r>
      <w:fldChar w:fldCharType="begin"/>
    </w:r>
    <w:r>
      <w:instrText xml:space="preserve">PAGE   \* MERGEFORMAT</w:instrText>
    </w:r>
    <w:r>
      <w:fldChar w:fldCharType="separate"/>
    </w:r>
    <w:r>
      <w:rPr>
        <w:lang w:val="zh-CN"/>
      </w:rPr>
      <w:t>1</w:t>
    </w:r>
    <w:r>
      <w:fldChar w:fldCharType="end"/>
    </w:r>
  </w:p>
  <w:p w14:paraId="0E9C21CA">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E70325"/>
    <w:multiLevelType w:val="singleLevel"/>
    <w:tmpl w:val="EDE70325"/>
    <w:lvl w:ilvl="0" w:tentative="0">
      <w:start w:val="1"/>
      <w:numFmt w:val="decimal"/>
      <w:suff w:val="space"/>
      <w:lvlText w:val="%1."/>
      <w:lvlJc w:val="left"/>
    </w:lvl>
  </w:abstractNum>
  <w:abstractNum w:abstractNumId="1">
    <w:nsid w:val="02B50443"/>
    <w:multiLevelType w:val="singleLevel"/>
    <w:tmpl w:val="02B50443"/>
    <w:lvl w:ilvl="0" w:tentative="0">
      <w:start w:val="1"/>
      <w:numFmt w:val="decimal"/>
      <w:lvlText w:val="(%1)"/>
      <w:lvlJc w:val="left"/>
      <w:pPr>
        <w:ind w:left="425" w:hanging="425"/>
      </w:pPr>
      <w:rPr>
        <w:rFonts w:hint="default"/>
      </w:rPr>
    </w:lvl>
  </w:abstractNum>
  <w:abstractNum w:abstractNumId="2">
    <w:nsid w:val="1B5A054F"/>
    <w:multiLevelType w:val="singleLevel"/>
    <w:tmpl w:val="1B5A054F"/>
    <w:lvl w:ilvl="0" w:tentative="0">
      <w:start w:val="1"/>
      <w:numFmt w:val="decimal"/>
      <w:lvlText w:val="%1."/>
      <w:lvlJc w:val="left"/>
      <w:pPr>
        <w:ind w:left="425" w:hanging="425"/>
      </w:pPr>
      <w:rPr>
        <w:rFonts w:hint="default"/>
      </w:rPr>
    </w:lvl>
  </w:abstractNum>
  <w:abstractNum w:abstractNumId="3">
    <w:nsid w:val="668EC363"/>
    <w:multiLevelType w:val="singleLevel"/>
    <w:tmpl w:val="668EC363"/>
    <w:lvl w:ilvl="0" w:tentative="0">
      <w:start w:val="1"/>
      <w:numFmt w:val="chineseCounting"/>
      <w:suff w:val="nothing"/>
      <w:lvlText w:val="%1、"/>
      <w:lvlJc w:val="left"/>
      <w:rPr>
        <w:rFonts w:hint="eastAsia"/>
      </w:r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8"/>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71A948D1"/>
    <w:multiLevelType w:val="singleLevel"/>
    <w:tmpl w:val="71A948D1"/>
    <w:lvl w:ilvl="0" w:tentative="0">
      <w:start w:val="1"/>
      <w:numFmt w:val="decimal"/>
      <w:suff w:val="space"/>
      <w:lvlText w:val="%1."/>
      <w:lvlJc w:val="left"/>
    </w:lvl>
  </w:abstractNum>
  <w:abstractNum w:abstractNumId="6">
    <w:nsid w:val="79544F7D"/>
    <w:multiLevelType w:val="singleLevel"/>
    <w:tmpl w:val="79544F7D"/>
    <w:lvl w:ilvl="0" w:tentative="0">
      <w:start w:val="1"/>
      <w:numFmt w:val="decimal"/>
      <w:lvlText w:val="(%1)"/>
      <w:lvlJc w:val="left"/>
      <w:pPr>
        <w:ind w:left="425" w:hanging="425"/>
      </w:pPr>
      <w:rPr>
        <w:rFonts w:hint="default"/>
      </w:rPr>
    </w:lvl>
  </w:abstractNum>
  <w:num w:numId="1">
    <w:abstractNumId w:val="4"/>
  </w:num>
  <w:num w:numId="2">
    <w:abstractNumId w:val="3"/>
  </w:num>
  <w:num w:numId="3">
    <w:abstractNumId w:val="2"/>
  </w:num>
  <w:num w:numId="4">
    <w:abstractNumId w:val="0"/>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HorizontalSpacing w:val="160"/>
  <w:drawingGridVerticalSpacing w:val="221"/>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wZDVhNDdjMzdmYzdmNmZiZjlkMDgzMDI5NWNkNjgifQ=="/>
  </w:docVars>
  <w:rsids>
    <w:rsidRoot w:val="00A2071F"/>
    <w:rsid w:val="00003F3B"/>
    <w:rsid w:val="00010134"/>
    <w:rsid w:val="00020984"/>
    <w:rsid w:val="00024CF1"/>
    <w:rsid w:val="00035850"/>
    <w:rsid w:val="00041541"/>
    <w:rsid w:val="000470C0"/>
    <w:rsid w:val="00057F54"/>
    <w:rsid w:val="00071575"/>
    <w:rsid w:val="000722D4"/>
    <w:rsid w:val="00077A86"/>
    <w:rsid w:val="000826A1"/>
    <w:rsid w:val="00087CE3"/>
    <w:rsid w:val="0009244D"/>
    <w:rsid w:val="000A2939"/>
    <w:rsid w:val="000B6A44"/>
    <w:rsid w:val="000C5F55"/>
    <w:rsid w:val="000C6508"/>
    <w:rsid w:val="000E03CC"/>
    <w:rsid w:val="000E6AF6"/>
    <w:rsid w:val="000E7D25"/>
    <w:rsid w:val="000E7F85"/>
    <w:rsid w:val="000F3B69"/>
    <w:rsid w:val="00111113"/>
    <w:rsid w:val="0012414E"/>
    <w:rsid w:val="00127D0B"/>
    <w:rsid w:val="0013063A"/>
    <w:rsid w:val="00135E4E"/>
    <w:rsid w:val="0014721D"/>
    <w:rsid w:val="00177EFA"/>
    <w:rsid w:val="001A03EF"/>
    <w:rsid w:val="001A6C89"/>
    <w:rsid w:val="001B17C5"/>
    <w:rsid w:val="001B5FCF"/>
    <w:rsid w:val="001E00AE"/>
    <w:rsid w:val="001E41DC"/>
    <w:rsid w:val="001F17F9"/>
    <w:rsid w:val="001F41BF"/>
    <w:rsid w:val="00206098"/>
    <w:rsid w:val="00206DF4"/>
    <w:rsid w:val="00210A29"/>
    <w:rsid w:val="0024066E"/>
    <w:rsid w:val="00245296"/>
    <w:rsid w:val="00257C0C"/>
    <w:rsid w:val="00276269"/>
    <w:rsid w:val="0027637A"/>
    <w:rsid w:val="00285E71"/>
    <w:rsid w:val="002863F2"/>
    <w:rsid w:val="00295D34"/>
    <w:rsid w:val="002A0D44"/>
    <w:rsid w:val="002A2074"/>
    <w:rsid w:val="002A405B"/>
    <w:rsid w:val="002B0826"/>
    <w:rsid w:val="002B328D"/>
    <w:rsid w:val="002B4994"/>
    <w:rsid w:val="002B7A1C"/>
    <w:rsid w:val="002C25B7"/>
    <w:rsid w:val="002C587B"/>
    <w:rsid w:val="002D5154"/>
    <w:rsid w:val="002E0AE6"/>
    <w:rsid w:val="002E7933"/>
    <w:rsid w:val="002E7A03"/>
    <w:rsid w:val="002F23F4"/>
    <w:rsid w:val="002F55DF"/>
    <w:rsid w:val="002F6EAC"/>
    <w:rsid w:val="00304A31"/>
    <w:rsid w:val="003208A9"/>
    <w:rsid w:val="003365D2"/>
    <w:rsid w:val="00343A6D"/>
    <w:rsid w:val="00347473"/>
    <w:rsid w:val="0035007F"/>
    <w:rsid w:val="00355511"/>
    <w:rsid w:val="0035642D"/>
    <w:rsid w:val="00362269"/>
    <w:rsid w:val="00363E7D"/>
    <w:rsid w:val="0037226B"/>
    <w:rsid w:val="00375927"/>
    <w:rsid w:val="0039520B"/>
    <w:rsid w:val="003C23E6"/>
    <w:rsid w:val="003D7146"/>
    <w:rsid w:val="003E7B1F"/>
    <w:rsid w:val="003F0FD4"/>
    <w:rsid w:val="003F5CCB"/>
    <w:rsid w:val="00400ED8"/>
    <w:rsid w:val="00415BF6"/>
    <w:rsid w:val="004204D4"/>
    <w:rsid w:val="00441B9A"/>
    <w:rsid w:val="00450A93"/>
    <w:rsid w:val="004549A7"/>
    <w:rsid w:val="00467A44"/>
    <w:rsid w:val="00471926"/>
    <w:rsid w:val="004864C7"/>
    <w:rsid w:val="004903AB"/>
    <w:rsid w:val="004B0948"/>
    <w:rsid w:val="004B3C08"/>
    <w:rsid w:val="004B7E40"/>
    <w:rsid w:val="004D3917"/>
    <w:rsid w:val="004F3A28"/>
    <w:rsid w:val="00500450"/>
    <w:rsid w:val="00502271"/>
    <w:rsid w:val="005024A4"/>
    <w:rsid w:val="00502E4F"/>
    <w:rsid w:val="005129C3"/>
    <w:rsid w:val="00557AD9"/>
    <w:rsid w:val="005616FD"/>
    <w:rsid w:val="00564229"/>
    <w:rsid w:val="00567762"/>
    <w:rsid w:val="00567B09"/>
    <w:rsid w:val="00576C2D"/>
    <w:rsid w:val="00580574"/>
    <w:rsid w:val="005862CB"/>
    <w:rsid w:val="00595F1B"/>
    <w:rsid w:val="00595F5B"/>
    <w:rsid w:val="005A0C0F"/>
    <w:rsid w:val="005B0E0E"/>
    <w:rsid w:val="005B2082"/>
    <w:rsid w:val="005B288D"/>
    <w:rsid w:val="005B7948"/>
    <w:rsid w:val="005C7E1A"/>
    <w:rsid w:val="005D2BD3"/>
    <w:rsid w:val="005D592D"/>
    <w:rsid w:val="005E7438"/>
    <w:rsid w:val="005F1190"/>
    <w:rsid w:val="005F5F92"/>
    <w:rsid w:val="00617C1E"/>
    <w:rsid w:val="006219A1"/>
    <w:rsid w:val="00632F0C"/>
    <w:rsid w:val="00637406"/>
    <w:rsid w:val="006436CB"/>
    <w:rsid w:val="00647F35"/>
    <w:rsid w:val="006708EE"/>
    <w:rsid w:val="00675CE1"/>
    <w:rsid w:val="00685048"/>
    <w:rsid w:val="00693D81"/>
    <w:rsid w:val="006A3BCC"/>
    <w:rsid w:val="006A7700"/>
    <w:rsid w:val="006C60F8"/>
    <w:rsid w:val="007207F4"/>
    <w:rsid w:val="007359A6"/>
    <w:rsid w:val="00740472"/>
    <w:rsid w:val="007651F7"/>
    <w:rsid w:val="00785A6D"/>
    <w:rsid w:val="00792F43"/>
    <w:rsid w:val="007A43B1"/>
    <w:rsid w:val="007C51D1"/>
    <w:rsid w:val="007F0793"/>
    <w:rsid w:val="00801922"/>
    <w:rsid w:val="00804E3F"/>
    <w:rsid w:val="00815E9C"/>
    <w:rsid w:val="00816C48"/>
    <w:rsid w:val="00837189"/>
    <w:rsid w:val="00872755"/>
    <w:rsid w:val="0089364E"/>
    <w:rsid w:val="008A51EB"/>
    <w:rsid w:val="008B18D1"/>
    <w:rsid w:val="008D71A1"/>
    <w:rsid w:val="008E0BB2"/>
    <w:rsid w:val="008E1D0A"/>
    <w:rsid w:val="008E692A"/>
    <w:rsid w:val="00911763"/>
    <w:rsid w:val="00916261"/>
    <w:rsid w:val="009274F4"/>
    <w:rsid w:val="00940697"/>
    <w:rsid w:val="00946762"/>
    <w:rsid w:val="0095021D"/>
    <w:rsid w:val="00951617"/>
    <w:rsid w:val="00963F46"/>
    <w:rsid w:val="00975C90"/>
    <w:rsid w:val="00985B3D"/>
    <w:rsid w:val="0099080E"/>
    <w:rsid w:val="009A1BF8"/>
    <w:rsid w:val="009B034D"/>
    <w:rsid w:val="009C0846"/>
    <w:rsid w:val="009C0C46"/>
    <w:rsid w:val="009D7D87"/>
    <w:rsid w:val="009E2D73"/>
    <w:rsid w:val="009E3F37"/>
    <w:rsid w:val="00A14F0F"/>
    <w:rsid w:val="00A2071F"/>
    <w:rsid w:val="00A2299F"/>
    <w:rsid w:val="00A30F5E"/>
    <w:rsid w:val="00A51109"/>
    <w:rsid w:val="00A61420"/>
    <w:rsid w:val="00A67BD0"/>
    <w:rsid w:val="00AA6C8E"/>
    <w:rsid w:val="00AB645E"/>
    <w:rsid w:val="00AC6147"/>
    <w:rsid w:val="00AD249D"/>
    <w:rsid w:val="00AD2ABC"/>
    <w:rsid w:val="00AD57E5"/>
    <w:rsid w:val="00AE6668"/>
    <w:rsid w:val="00B00F80"/>
    <w:rsid w:val="00B1722D"/>
    <w:rsid w:val="00B23CA0"/>
    <w:rsid w:val="00B25B23"/>
    <w:rsid w:val="00B304BB"/>
    <w:rsid w:val="00B327C4"/>
    <w:rsid w:val="00B34853"/>
    <w:rsid w:val="00B46575"/>
    <w:rsid w:val="00B50DA5"/>
    <w:rsid w:val="00B517F2"/>
    <w:rsid w:val="00B5738C"/>
    <w:rsid w:val="00B61EB7"/>
    <w:rsid w:val="00B637B7"/>
    <w:rsid w:val="00B74DAF"/>
    <w:rsid w:val="00B95562"/>
    <w:rsid w:val="00BA6E17"/>
    <w:rsid w:val="00BD1B43"/>
    <w:rsid w:val="00BD4C9C"/>
    <w:rsid w:val="00BD654C"/>
    <w:rsid w:val="00BD7540"/>
    <w:rsid w:val="00BF17F1"/>
    <w:rsid w:val="00BF2414"/>
    <w:rsid w:val="00C11A7D"/>
    <w:rsid w:val="00C30AC5"/>
    <w:rsid w:val="00C42276"/>
    <w:rsid w:val="00C44A3F"/>
    <w:rsid w:val="00C46241"/>
    <w:rsid w:val="00C56923"/>
    <w:rsid w:val="00C569EB"/>
    <w:rsid w:val="00C66EBC"/>
    <w:rsid w:val="00C6762C"/>
    <w:rsid w:val="00C83BB3"/>
    <w:rsid w:val="00C85A6B"/>
    <w:rsid w:val="00C86D4F"/>
    <w:rsid w:val="00CC2007"/>
    <w:rsid w:val="00CC72BC"/>
    <w:rsid w:val="00CD6B4B"/>
    <w:rsid w:val="00CE50EF"/>
    <w:rsid w:val="00CF42D2"/>
    <w:rsid w:val="00CF46F4"/>
    <w:rsid w:val="00D05742"/>
    <w:rsid w:val="00D075C5"/>
    <w:rsid w:val="00D14268"/>
    <w:rsid w:val="00D14AD4"/>
    <w:rsid w:val="00D1756B"/>
    <w:rsid w:val="00D246C5"/>
    <w:rsid w:val="00D36B47"/>
    <w:rsid w:val="00D42D6F"/>
    <w:rsid w:val="00D45CCE"/>
    <w:rsid w:val="00D4662D"/>
    <w:rsid w:val="00D60720"/>
    <w:rsid w:val="00D740A7"/>
    <w:rsid w:val="00D76F7B"/>
    <w:rsid w:val="00D7762B"/>
    <w:rsid w:val="00D921FF"/>
    <w:rsid w:val="00DA1E2C"/>
    <w:rsid w:val="00DA7E47"/>
    <w:rsid w:val="00DB544D"/>
    <w:rsid w:val="00DC1C76"/>
    <w:rsid w:val="00DC2D6F"/>
    <w:rsid w:val="00DE0520"/>
    <w:rsid w:val="00DE2B95"/>
    <w:rsid w:val="00E02125"/>
    <w:rsid w:val="00E0295E"/>
    <w:rsid w:val="00E12DDE"/>
    <w:rsid w:val="00E1421D"/>
    <w:rsid w:val="00E32545"/>
    <w:rsid w:val="00E4256D"/>
    <w:rsid w:val="00E506B0"/>
    <w:rsid w:val="00E84779"/>
    <w:rsid w:val="00E86728"/>
    <w:rsid w:val="00E94175"/>
    <w:rsid w:val="00EA7B69"/>
    <w:rsid w:val="00EB087D"/>
    <w:rsid w:val="00EC78A0"/>
    <w:rsid w:val="00ED2F08"/>
    <w:rsid w:val="00F05999"/>
    <w:rsid w:val="00F167E5"/>
    <w:rsid w:val="00F32E67"/>
    <w:rsid w:val="00F413A3"/>
    <w:rsid w:val="00F570EF"/>
    <w:rsid w:val="00F77FA1"/>
    <w:rsid w:val="00F85654"/>
    <w:rsid w:val="00F9338E"/>
    <w:rsid w:val="00F948A4"/>
    <w:rsid w:val="00F9598A"/>
    <w:rsid w:val="00F97B82"/>
    <w:rsid w:val="00FA13AD"/>
    <w:rsid w:val="00FA168F"/>
    <w:rsid w:val="00FB0397"/>
    <w:rsid w:val="00FB5E80"/>
    <w:rsid w:val="00FC397E"/>
    <w:rsid w:val="00FE53C4"/>
    <w:rsid w:val="00FE5920"/>
    <w:rsid w:val="01403866"/>
    <w:rsid w:val="018653E5"/>
    <w:rsid w:val="018827C0"/>
    <w:rsid w:val="01D9122E"/>
    <w:rsid w:val="01F70B65"/>
    <w:rsid w:val="01FB35C2"/>
    <w:rsid w:val="030A686F"/>
    <w:rsid w:val="037F56B4"/>
    <w:rsid w:val="05840531"/>
    <w:rsid w:val="0611686C"/>
    <w:rsid w:val="08245E00"/>
    <w:rsid w:val="08DD2C82"/>
    <w:rsid w:val="0A0719FC"/>
    <w:rsid w:val="0A7F5EF6"/>
    <w:rsid w:val="0C306F9C"/>
    <w:rsid w:val="0C5F2DF4"/>
    <w:rsid w:val="0CB26E59"/>
    <w:rsid w:val="0CC84155"/>
    <w:rsid w:val="0E6503F7"/>
    <w:rsid w:val="0EDF3A75"/>
    <w:rsid w:val="0F0A607B"/>
    <w:rsid w:val="0F964594"/>
    <w:rsid w:val="0FBA2D62"/>
    <w:rsid w:val="11294A89"/>
    <w:rsid w:val="1215598C"/>
    <w:rsid w:val="12512111"/>
    <w:rsid w:val="12DE2DD3"/>
    <w:rsid w:val="13964638"/>
    <w:rsid w:val="14590893"/>
    <w:rsid w:val="14811C24"/>
    <w:rsid w:val="1485045E"/>
    <w:rsid w:val="14E72D48"/>
    <w:rsid w:val="15D64081"/>
    <w:rsid w:val="16F47F12"/>
    <w:rsid w:val="16FA77BC"/>
    <w:rsid w:val="174F01C6"/>
    <w:rsid w:val="1BA71C8F"/>
    <w:rsid w:val="1EF4570C"/>
    <w:rsid w:val="1F6D5100"/>
    <w:rsid w:val="1F776DD5"/>
    <w:rsid w:val="1FD463C9"/>
    <w:rsid w:val="201410F8"/>
    <w:rsid w:val="209D5843"/>
    <w:rsid w:val="20B562F0"/>
    <w:rsid w:val="21220198"/>
    <w:rsid w:val="218B0AE1"/>
    <w:rsid w:val="221F6A1D"/>
    <w:rsid w:val="225865A0"/>
    <w:rsid w:val="23D83E71"/>
    <w:rsid w:val="25B4285B"/>
    <w:rsid w:val="261B6035"/>
    <w:rsid w:val="266A7C89"/>
    <w:rsid w:val="2685790D"/>
    <w:rsid w:val="26FB0A71"/>
    <w:rsid w:val="270F5E2C"/>
    <w:rsid w:val="27690C18"/>
    <w:rsid w:val="276E08F8"/>
    <w:rsid w:val="28ED2A9A"/>
    <w:rsid w:val="296858B0"/>
    <w:rsid w:val="299834A5"/>
    <w:rsid w:val="29AE1FA0"/>
    <w:rsid w:val="2ACE1D1A"/>
    <w:rsid w:val="2AD3077D"/>
    <w:rsid w:val="2B6A585A"/>
    <w:rsid w:val="2BF40978"/>
    <w:rsid w:val="2CF93A5B"/>
    <w:rsid w:val="2D051DE6"/>
    <w:rsid w:val="2D4B50EF"/>
    <w:rsid w:val="2D9D147F"/>
    <w:rsid w:val="2DE94224"/>
    <w:rsid w:val="2E5C41FB"/>
    <w:rsid w:val="2F542D2C"/>
    <w:rsid w:val="2F6105F3"/>
    <w:rsid w:val="30151A6F"/>
    <w:rsid w:val="31CC058C"/>
    <w:rsid w:val="32787FA7"/>
    <w:rsid w:val="334F50EB"/>
    <w:rsid w:val="350B1085"/>
    <w:rsid w:val="36F56EDE"/>
    <w:rsid w:val="37025021"/>
    <w:rsid w:val="375A4368"/>
    <w:rsid w:val="37F45676"/>
    <w:rsid w:val="38791385"/>
    <w:rsid w:val="393957CF"/>
    <w:rsid w:val="395A759C"/>
    <w:rsid w:val="398A0F9A"/>
    <w:rsid w:val="3A0E0FB4"/>
    <w:rsid w:val="3A727953"/>
    <w:rsid w:val="3B9B2FCA"/>
    <w:rsid w:val="3BF7678F"/>
    <w:rsid w:val="3D4460CF"/>
    <w:rsid w:val="3E09087E"/>
    <w:rsid w:val="423425FF"/>
    <w:rsid w:val="43633755"/>
    <w:rsid w:val="43EF043C"/>
    <w:rsid w:val="451E4680"/>
    <w:rsid w:val="46767E0B"/>
    <w:rsid w:val="470507F7"/>
    <w:rsid w:val="478A60DC"/>
    <w:rsid w:val="47996DF8"/>
    <w:rsid w:val="48DD562D"/>
    <w:rsid w:val="49392F71"/>
    <w:rsid w:val="49A87EE7"/>
    <w:rsid w:val="49FB7A4A"/>
    <w:rsid w:val="4A27015D"/>
    <w:rsid w:val="4B9649C7"/>
    <w:rsid w:val="4C5E6FED"/>
    <w:rsid w:val="4D3324AA"/>
    <w:rsid w:val="4DB0700B"/>
    <w:rsid w:val="4E673493"/>
    <w:rsid w:val="4E86751A"/>
    <w:rsid w:val="4FB97C56"/>
    <w:rsid w:val="501810FD"/>
    <w:rsid w:val="529A1474"/>
    <w:rsid w:val="53E33F85"/>
    <w:rsid w:val="55FC77D9"/>
    <w:rsid w:val="56F5788B"/>
    <w:rsid w:val="572F38BA"/>
    <w:rsid w:val="587B29B0"/>
    <w:rsid w:val="589A55B0"/>
    <w:rsid w:val="58AF26C2"/>
    <w:rsid w:val="59996463"/>
    <w:rsid w:val="59F84014"/>
    <w:rsid w:val="5B22355E"/>
    <w:rsid w:val="5BDC0C3B"/>
    <w:rsid w:val="5C0107A3"/>
    <w:rsid w:val="5C8B7DC8"/>
    <w:rsid w:val="5CDC06F9"/>
    <w:rsid w:val="5D665742"/>
    <w:rsid w:val="606538A7"/>
    <w:rsid w:val="60F21A20"/>
    <w:rsid w:val="628A029D"/>
    <w:rsid w:val="62BB0E20"/>
    <w:rsid w:val="62BD568B"/>
    <w:rsid w:val="648E691F"/>
    <w:rsid w:val="659F52E1"/>
    <w:rsid w:val="68550849"/>
    <w:rsid w:val="69012A06"/>
    <w:rsid w:val="694F466C"/>
    <w:rsid w:val="69BA0943"/>
    <w:rsid w:val="6A1E6E22"/>
    <w:rsid w:val="6B387BE2"/>
    <w:rsid w:val="6BA4174B"/>
    <w:rsid w:val="6C5A6B80"/>
    <w:rsid w:val="6CF94BCC"/>
    <w:rsid w:val="6DDF50F0"/>
    <w:rsid w:val="6E3C1ADC"/>
    <w:rsid w:val="6E7516A5"/>
    <w:rsid w:val="6F4C3051"/>
    <w:rsid w:val="6FBF12E9"/>
    <w:rsid w:val="702E052E"/>
    <w:rsid w:val="70D140A1"/>
    <w:rsid w:val="71161637"/>
    <w:rsid w:val="712933EB"/>
    <w:rsid w:val="715F71AF"/>
    <w:rsid w:val="71805F57"/>
    <w:rsid w:val="71EA79AB"/>
    <w:rsid w:val="72F5765F"/>
    <w:rsid w:val="73A0026E"/>
    <w:rsid w:val="75F86F53"/>
    <w:rsid w:val="78AC56E3"/>
    <w:rsid w:val="79C31BC6"/>
    <w:rsid w:val="7B000190"/>
    <w:rsid w:val="7BEB7D28"/>
    <w:rsid w:val="7E3C6260"/>
    <w:rsid w:val="7FA52C8E"/>
    <w:rsid w:val="7FDC2A8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kern w:val="2"/>
      <w:sz w:val="32"/>
      <w:szCs w:val="32"/>
      <w:lang w:val="en-US" w:eastAsia="zh-CN" w:bidi="ar-SA"/>
    </w:rPr>
  </w:style>
  <w:style w:type="paragraph" w:styleId="2">
    <w:name w:val="heading 1"/>
    <w:basedOn w:val="1"/>
    <w:next w:val="1"/>
    <w:qFormat/>
    <w:uiPriority w:val="9"/>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12">
    <w:name w:val="Default Paragraph Font"/>
    <w:unhideWhenUsed/>
    <w:uiPriority w:val="1"/>
  </w:style>
  <w:style w:type="table" w:default="1" w:styleId="10">
    <w:name w:val="Normal Table"/>
    <w:unhideWhenUsed/>
    <w:uiPriority w:val="99"/>
    <w:tblPr>
      <w:tblStyle w:val="10"/>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Calibri" w:hAnsi="Calibri"/>
      <w:sz w:val="32"/>
      <w:szCs w:val="32"/>
    </w:rPr>
  </w:style>
  <w:style w:type="paragraph" w:styleId="4">
    <w:name w:val="Body Text"/>
    <w:basedOn w:val="1"/>
    <w:qFormat/>
    <w:uiPriority w:val="99"/>
    <w:pPr>
      <w:spacing w:after="120"/>
    </w:pPr>
    <w:rPr>
      <w:sz w:val="21"/>
      <w:szCs w:val="21"/>
    </w:rPr>
  </w:style>
  <w:style w:type="paragraph" w:styleId="5">
    <w:name w:val="Date"/>
    <w:basedOn w:val="1"/>
    <w:next w:val="1"/>
    <w:link w:val="16"/>
    <w:unhideWhenUsed/>
    <w:uiPriority w:val="99"/>
    <w:pPr>
      <w:ind w:left="100" w:leftChars="2500"/>
    </w:pPr>
  </w:style>
  <w:style w:type="paragraph" w:styleId="6">
    <w:name w:val="Balloon Text"/>
    <w:basedOn w:val="1"/>
    <w:link w:val="17"/>
    <w:unhideWhenUsed/>
    <w:uiPriority w:val="99"/>
    <w:rPr>
      <w:sz w:val="18"/>
      <w:szCs w:val="18"/>
    </w:rPr>
  </w:style>
  <w:style w:type="paragraph" w:styleId="7">
    <w:name w:val="footer"/>
    <w:basedOn w:val="1"/>
    <w:link w:val="18"/>
    <w:unhideWhenUsed/>
    <w:uiPriority w:val="99"/>
    <w:pPr>
      <w:tabs>
        <w:tab w:val="center" w:pos="4153"/>
        <w:tab w:val="right" w:pos="8306"/>
      </w:tabs>
      <w:snapToGrid w:val="0"/>
      <w:jc w:val="left"/>
    </w:pPr>
    <w:rPr>
      <w:rFonts w:eastAsia="宋体"/>
      <w:kern w:val="0"/>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rFonts w:eastAsia="宋体"/>
      <w:kern w:val="0"/>
      <w:sz w:val="18"/>
      <w:szCs w:val="18"/>
    </w:rPr>
  </w:style>
  <w:style w:type="paragraph" w:styleId="9">
    <w:name w:val="Normal (Web)"/>
    <w:basedOn w:val="1"/>
    <w:next w:val="1"/>
    <w:unhideWhenUsed/>
    <w:qFormat/>
    <w:uiPriority w:val="99"/>
    <w:rPr>
      <w:sz w:val="24"/>
    </w:rPr>
  </w:style>
  <w:style w:type="table" w:styleId="11">
    <w:name w:val="Table Grid"/>
    <w:basedOn w:val="10"/>
    <w:qFormat/>
    <w:uiPriority w:val="0"/>
    <w:pPr>
      <w:widowControl w:val="0"/>
      <w:jc w:val="both"/>
    </w:pPr>
    <w:rPr>
      <w:rFonts w:ascii="Times New Roman" w:hAnsi="Times New Roman" w:eastAsia="宋体" w:cs="Times New Roman"/>
      <w:kern w:val="0"/>
      <w:sz w:val="20"/>
      <w:szCs w:val="20"/>
    </w:rPr>
    <w:tblPr>
      <w:tblStyle w:val="10"/>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22"/>
    <w:rPr>
      <w:b/>
    </w:rPr>
  </w:style>
  <w:style w:type="character" w:styleId="14">
    <w:name w:val="Emphasis"/>
    <w:basedOn w:val="12"/>
    <w:qFormat/>
    <w:uiPriority w:val="20"/>
    <w:rPr>
      <w:i/>
    </w:rPr>
  </w:style>
  <w:style w:type="character" w:styleId="15">
    <w:name w:val="Hyperlink"/>
    <w:unhideWhenUsed/>
    <w:uiPriority w:val="99"/>
    <w:rPr>
      <w:color w:val="0000FF"/>
      <w:u w:val="single"/>
    </w:rPr>
  </w:style>
  <w:style w:type="character" w:customStyle="1" w:styleId="16">
    <w:name w:val="日期 Char"/>
    <w:link w:val="5"/>
    <w:semiHidden/>
    <w:uiPriority w:val="99"/>
    <w:rPr>
      <w:rFonts w:eastAsia="仿宋_GB2312"/>
      <w:kern w:val="2"/>
      <w:sz w:val="32"/>
      <w:szCs w:val="32"/>
    </w:rPr>
  </w:style>
  <w:style w:type="character" w:customStyle="1" w:styleId="17">
    <w:name w:val="批注框文本 Char"/>
    <w:link w:val="6"/>
    <w:semiHidden/>
    <w:uiPriority w:val="99"/>
    <w:rPr>
      <w:rFonts w:eastAsia="仿宋_GB2312"/>
      <w:kern w:val="2"/>
      <w:sz w:val="18"/>
      <w:szCs w:val="18"/>
    </w:rPr>
  </w:style>
  <w:style w:type="character" w:customStyle="1" w:styleId="18">
    <w:name w:val="页脚 Char"/>
    <w:link w:val="7"/>
    <w:qFormat/>
    <w:uiPriority w:val="99"/>
    <w:rPr>
      <w:sz w:val="18"/>
      <w:szCs w:val="18"/>
    </w:rPr>
  </w:style>
  <w:style w:type="character" w:customStyle="1" w:styleId="19">
    <w:name w:val="页眉 Char"/>
    <w:link w:val="8"/>
    <w:uiPriority w:val="99"/>
    <w:rPr>
      <w:sz w:val="18"/>
      <w:szCs w:val="18"/>
    </w:rPr>
  </w:style>
  <w:style w:type="paragraph" w:customStyle="1" w:styleId="20">
    <w:name w:val="正文 首行缩进:  2 字符"/>
    <w:basedOn w:val="1"/>
    <w:qFormat/>
    <w:uiPriority w:val="0"/>
    <w:pPr>
      <w:ind w:firstLine="579" w:firstLineChars="200"/>
    </w:pPr>
    <w:rPr>
      <w:rFonts w:cs="宋体"/>
      <w:sz w:val="28"/>
      <w:szCs w:val="20"/>
    </w:rPr>
  </w:style>
  <w:style w:type="character" w:customStyle="1" w:styleId="21">
    <w:name w:val="段 Char"/>
    <w:link w:val="22"/>
    <w:uiPriority w:val="0"/>
    <w:rPr>
      <w:rFonts w:ascii="宋体"/>
      <w:sz w:val="21"/>
      <w:lang w:val="en-US" w:eastAsia="zh-CN" w:bidi="ar-SA"/>
    </w:rPr>
  </w:style>
  <w:style w:type="paragraph" w:customStyle="1" w:styleId="22">
    <w:name w:val="段"/>
    <w:link w:val="21"/>
    <w:qFormat/>
    <w:uiPriority w:val="0"/>
    <w:pPr>
      <w:autoSpaceDE w:val="0"/>
      <w:autoSpaceDN w:val="0"/>
      <w:ind w:firstLine="200" w:firstLineChars="200"/>
      <w:jc w:val="both"/>
    </w:pPr>
    <w:rPr>
      <w:rFonts w:ascii="宋体"/>
      <w:sz w:val="21"/>
      <w:lang w:val="en-US" w:eastAsia="zh-CN" w:bidi="ar-SA"/>
    </w:rPr>
  </w:style>
  <w:style w:type="paragraph" w:customStyle="1" w:styleId="23">
    <w:name w:val="Defaul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24">
    <w:name w:val=" Char"/>
    <w:basedOn w:val="1"/>
    <w:uiPriority w:val="0"/>
    <w:pPr>
      <w:widowControl/>
      <w:spacing w:after="160" w:line="240" w:lineRule="exact"/>
      <w:jc w:val="left"/>
    </w:pPr>
    <w:rPr>
      <w:rFonts w:ascii="Arial" w:hAnsi="Arial" w:eastAsia="Times New Roman" w:cs="Verdana"/>
      <w:b/>
      <w:kern w:val="0"/>
      <w:sz w:val="24"/>
      <w:szCs w:val="20"/>
      <w:lang w:eastAsia="en-US"/>
    </w:rPr>
  </w:style>
  <w:style w:type="paragraph" w:styleId="25">
    <w:name w:val="List Paragraph"/>
    <w:basedOn w:val="1"/>
    <w:qFormat/>
    <w:uiPriority w:val="34"/>
    <w:pPr>
      <w:ind w:firstLine="420" w:firstLineChars="200"/>
    </w:pPr>
  </w:style>
  <w:style w:type="paragraph" w:customStyle="1" w:styleId="2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
    <w:name w:val="p0"/>
    <w:basedOn w:val="1"/>
    <w:qFormat/>
    <w:uiPriority w:val="0"/>
    <w:pPr>
      <w:widowControl/>
      <w:jc w:val="left"/>
    </w:pPr>
    <w:rPr>
      <w:kern w:val="0"/>
      <w:szCs w:val="21"/>
    </w:rPr>
  </w:style>
  <w:style w:type="paragraph" w:customStyle="1" w:styleId="28">
    <w:name w:val="标准文件_二级条标题"/>
    <w:next w:val="26"/>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29">
    <w:name w:val="正文首行缩进 21"/>
    <w:basedOn w:val="30"/>
    <w:next w:val="9"/>
    <w:qFormat/>
    <w:uiPriority w:val="0"/>
    <w:rPr>
      <w:rFonts w:eastAsia="仿宋_GB2312"/>
      <w:sz w:val="32"/>
      <w:szCs w:val="32"/>
    </w:rPr>
  </w:style>
  <w:style w:type="paragraph" w:customStyle="1" w:styleId="30">
    <w:name w:val="正文文本缩进1"/>
    <w:basedOn w:val="1"/>
    <w:qFormat/>
    <w:uiPriority w:val="0"/>
    <w:pPr>
      <w:ind w:left="200" w:left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7234</Words>
  <Characters>7774</Characters>
  <Lines>16</Lines>
  <Paragraphs>4</Paragraphs>
  <TotalTime>9</TotalTime>
  <ScaleCrop>false</ScaleCrop>
  <LinksUpToDate>false</LinksUpToDate>
  <CharactersWithSpaces>7890</CharactersWithSpaces>
  <Application>WPS Office_12.1.0.18166_F1E327BC-269C-435d-A152-05C5408002CA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2020-09-07T01:39:00Z</dcterms:created>
  <dc:creator>Windows 用户</dc:creator>
  <cp:lastModifiedBy>小曹</cp:lastModifiedBy>
  <cp:lastPrinted>2023-10-12T10:37:45Z</cp:lastPrinted>
  <dcterms:modified xsi:type="dcterms:W3CDTF">2024-10-28T12:08:54Z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2052-12.1.0.18166</vt:lpwstr>
  </property>
  <property fmtid="{D5CDD505-2E9C-101B-9397-08002B2CF9AE}" pid="3" name="ICV">
    <vt:lpwstr>36E43ADADF00498B86903E6B9E527276_13</vt:lpwstr>
  </property>
</Properties>
</file>